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665FC" w14:textId="30F56438" w:rsidR="00680F49" w:rsidRPr="00AB423F" w:rsidRDefault="00680F49" w:rsidP="003724C6">
      <w:pPr>
        <w:jc w:val="center"/>
        <w:rPr>
          <w:i/>
          <w:u w:val="single"/>
          <w:lang w:val="en-GB"/>
        </w:rPr>
      </w:pPr>
      <w:r w:rsidRPr="00AB423F">
        <w:rPr>
          <w:i/>
          <w:u w:val="single"/>
          <w:lang w:val="en-GB"/>
        </w:rPr>
        <w:t>[</w:t>
      </w:r>
      <w:r w:rsidR="008B1058" w:rsidRPr="00AB423F">
        <w:rPr>
          <w:i/>
          <w:u w:val="single"/>
          <w:lang w:val="en-GB"/>
        </w:rPr>
        <w:t>09</w:t>
      </w:r>
      <w:r w:rsidR="007A4015" w:rsidRPr="00AB423F">
        <w:rPr>
          <w:i/>
          <w:u w:val="single"/>
          <w:lang w:val="en-GB"/>
        </w:rPr>
        <w:t>/0</w:t>
      </w:r>
      <w:r w:rsidR="008B1058" w:rsidRPr="00AB423F">
        <w:rPr>
          <w:i/>
          <w:u w:val="single"/>
          <w:lang w:val="en-GB"/>
        </w:rPr>
        <w:t>3</w:t>
      </w:r>
      <w:r w:rsidR="007A4015" w:rsidRPr="00AB423F">
        <w:rPr>
          <w:i/>
          <w:u w:val="single"/>
          <w:lang w:val="en-GB"/>
        </w:rPr>
        <w:t>/202</w:t>
      </w:r>
      <w:r w:rsidR="008B1058" w:rsidRPr="00AB423F">
        <w:rPr>
          <w:i/>
          <w:u w:val="single"/>
          <w:lang w:val="en-GB"/>
        </w:rPr>
        <w:t>4</w:t>
      </w:r>
      <w:r w:rsidRPr="00AB423F">
        <w:rPr>
          <w:i/>
          <w:u w:val="single"/>
          <w:lang w:val="en-GB"/>
        </w:rPr>
        <w:t>]</w:t>
      </w:r>
    </w:p>
    <w:p w14:paraId="36C35462" w14:textId="0258608F" w:rsidR="00680F49" w:rsidRPr="00AB423F" w:rsidRDefault="00680F49" w:rsidP="003724C6">
      <w:pPr>
        <w:jc w:val="center"/>
        <w:rPr>
          <w:i/>
          <w:u w:val="single"/>
          <w:lang w:val="en-GB"/>
        </w:rPr>
      </w:pPr>
      <w:r w:rsidRPr="00AB423F">
        <w:rPr>
          <w:i/>
          <w:u w:val="single"/>
          <w:lang w:val="en-GB"/>
        </w:rPr>
        <w:t>[</w:t>
      </w:r>
      <w:r w:rsidR="007A4015" w:rsidRPr="00AB423F">
        <w:rPr>
          <w:i/>
          <w:u w:val="single"/>
          <w:lang w:val="en-GB"/>
        </w:rPr>
        <w:t>VLAIO</w:t>
      </w:r>
      <w:r w:rsidRPr="00AB423F">
        <w:rPr>
          <w:i/>
          <w:u w:val="single"/>
          <w:lang w:val="en-GB"/>
        </w:rPr>
        <w:t>]</w:t>
      </w:r>
    </w:p>
    <w:p w14:paraId="7E88F34A" w14:textId="77777777" w:rsidR="001576BD" w:rsidRPr="00AB423F" w:rsidRDefault="001576BD" w:rsidP="001576BD">
      <w:pPr>
        <w:jc w:val="center"/>
        <w:rPr>
          <w:i/>
          <w:u w:val="single"/>
          <w:lang w:val="en-GB"/>
        </w:rPr>
      </w:pPr>
      <w:r w:rsidRPr="00AB423F">
        <w:rPr>
          <w:i/>
          <w:iCs/>
          <w:u w:val="single"/>
          <w:lang w:val="en-GB"/>
        </w:rPr>
        <w:t>Measure name:</w:t>
      </w:r>
    </w:p>
    <w:p w14:paraId="66EA46DB" w14:textId="0D8CE213" w:rsidR="006D68DF" w:rsidRPr="00AB423F" w:rsidRDefault="00992F0E" w:rsidP="107FEA7C">
      <w:pPr>
        <w:jc w:val="center"/>
        <w:rPr>
          <w:i/>
          <w:iCs/>
          <w:u w:val="single"/>
          <w:lang w:val="en-GB"/>
        </w:rPr>
      </w:pPr>
      <w:r w:rsidRPr="00AB423F">
        <w:rPr>
          <w:i/>
          <w:iCs/>
          <w:u w:val="single"/>
          <w:lang w:val="en-GB"/>
        </w:rPr>
        <w:t xml:space="preserve"> </w:t>
      </w:r>
      <w:r w:rsidR="66F07C74" w:rsidRPr="00AB423F">
        <w:rPr>
          <w:i/>
          <w:iCs/>
          <w:u w:val="single"/>
          <w:lang w:val="en-GB"/>
        </w:rPr>
        <w:t>[</w:t>
      </w:r>
      <w:r w:rsidR="006D68DF" w:rsidRPr="00AB423F">
        <w:rPr>
          <w:i/>
          <w:iCs/>
          <w:u w:val="single"/>
          <w:lang w:val="en-GB"/>
        </w:rPr>
        <w:t>MILESTONE</w:t>
      </w:r>
      <w:r w:rsidR="007A4015" w:rsidRPr="00AB423F">
        <w:rPr>
          <w:i/>
          <w:iCs/>
          <w:u w:val="single"/>
          <w:lang w:val="en-GB"/>
        </w:rPr>
        <w:t xml:space="preserve"> 2</w:t>
      </w:r>
      <w:r w:rsidR="00AD242F" w:rsidRPr="00AB423F">
        <w:rPr>
          <w:i/>
          <w:iCs/>
          <w:u w:val="single"/>
          <w:lang w:val="en-GB"/>
        </w:rPr>
        <w:t>2</w:t>
      </w:r>
      <w:r w:rsidR="007A4015" w:rsidRPr="00AB423F">
        <w:rPr>
          <w:i/>
          <w:iCs/>
          <w:u w:val="single"/>
          <w:lang w:val="en-GB"/>
        </w:rPr>
        <w:t xml:space="preserve"> </w:t>
      </w:r>
      <w:r w:rsidR="00680F49" w:rsidRPr="00AB423F">
        <w:rPr>
          <w:i/>
          <w:iCs/>
          <w:u w:val="single"/>
          <w:lang w:val="en-GB"/>
        </w:rPr>
        <w:t>/</w:t>
      </w:r>
      <w:r w:rsidR="007A4015" w:rsidRPr="00AB423F">
        <w:rPr>
          <w:i/>
          <w:iCs/>
          <w:u w:val="single"/>
          <w:lang w:val="en-GB"/>
        </w:rPr>
        <w:t>I-1.16 An Industrial value chain for Hydrogen</w:t>
      </w:r>
      <w:r w:rsidR="00680F49" w:rsidRPr="00AB423F">
        <w:rPr>
          <w:i/>
          <w:iCs/>
          <w:u w:val="single"/>
          <w:lang w:val="en-GB"/>
        </w:rPr>
        <w:t xml:space="preserve">] </w:t>
      </w:r>
    </w:p>
    <w:p w14:paraId="44AD2BD4" w14:textId="77777777" w:rsidR="001576BD" w:rsidRPr="00AB423F" w:rsidRDefault="363F63DE" w:rsidP="00212D8D">
      <w:pPr>
        <w:pBdr>
          <w:top w:val="single" w:sz="4" w:space="1" w:color="auto"/>
          <w:left w:val="single" w:sz="4" w:space="4" w:color="auto"/>
          <w:bottom w:val="single" w:sz="4" w:space="1" w:color="auto"/>
          <w:right w:val="single" w:sz="4" w:space="4" w:color="auto"/>
        </w:pBdr>
        <w:rPr>
          <w:b/>
          <w:bCs/>
          <w:u w:val="single"/>
          <w:lang w:val="en-GB"/>
        </w:rPr>
      </w:pPr>
      <w:r w:rsidRPr="00AB423F">
        <w:rPr>
          <w:b/>
          <w:bCs/>
          <w:u w:val="single"/>
          <w:lang w:val="en-GB"/>
        </w:rPr>
        <w:t xml:space="preserve">Milestone/target </w:t>
      </w:r>
      <w:r w:rsidR="0C0FE71B" w:rsidRPr="00AB423F">
        <w:rPr>
          <w:b/>
          <w:bCs/>
          <w:u w:val="single"/>
          <w:lang w:val="en-GB"/>
        </w:rPr>
        <w:t>description</w:t>
      </w:r>
      <w:r w:rsidR="54C49319" w:rsidRPr="00AB423F">
        <w:rPr>
          <w:b/>
          <w:bCs/>
          <w:u w:val="single"/>
          <w:lang w:val="en-GB"/>
        </w:rPr>
        <w:t>:</w:t>
      </w:r>
    </w:p>
    <w:p w14:paraId="68C886B4" w14:textId="03202941" w:rsidR="007A4015" w:rsidRPr="00AB423F" w:rsidRDefault="007A4015" w:rsidP="007A4015">
      <w:pPr>
        <w:pBdr>
          <w:top w:val="single" w:sz="4" w:space="1" w:color="auto"/>
          <w:left w:val="single" w:sz="4" w:space="4" w:color="auto"/>
          <w:bottom w:val="single" w:sz="4" w:space="1" w:color="auto"/>
          <w:right w:val="single" w:sz="4" w:space="4" w:color="auto"/>
        </w:pBdr>
        <w:rPr>
          <w:lang w:val="en-GB"/>
        </w:rPr>
      </w:pPr>
      <w:bookmarkStart w:id="0" w:name="_Hlk121310526"/>
      <w:r w:rsidRPr="00AB423F">
        <w:rPr>
          <w:lang w:val="en-GB"/>
        </w:rPr>
        <w:t xml:space="preserve">Award of contracts to </w:t>
      </w:r>
      <w:r w:rsidR="00350CD7" w:rsidRPr="00AB423F">
        <w:rPr>
          <w:lang w:val="en-GB"/>
        </w:rPr>
        <w:t xml:space="preserve">additional non-IPCEI </w:t>
      </w:r>
      <w:r w:rsidRPr="00AB423F">
        <w:rPr>
          <w:lang w:val="en-GB"/>
        </w:rPr>
        <w:t>hydrogen projects. Are excluded from selected projects: all activities under the Emission Trading Scheme (ETS) with projected CO2 equivalent emissions that are not substantially lower than the relevant benchmarks established for free allocation.</w:t>
      </w:r>
    </w:p>
    <w:p w14:paraId="6FE491C9" w14:textId="77777777" w:rsidR="007A4015" w:rsidRPr="00AB423F" w:rsidRDefault="007A4015" w:rsidP="007A4015">
      <w:pPr>
        <w:pBdr>
          <w:top w:val="single" w:sz="4" w:space="1" w:color="auto"/>
          <w:left w:val="single" w:sz="4" w:space="4" w:color="auto"/>
          <w:bottom w:val="single" w:sz="4" w:space="1" w:color="auto"/>
          <w:right w:val="single" w:sz="4" w:space="4" w:color="auto"/>
        </w:pBdr>
        <w:rPr>
          <w:lang w:val="en-GB"/>
        </w:rPr>
      </w:pPr>
      <w:r w:rsidRPr="00AB423F">
        <w:rPr>
          <w:lang w:val="en-GB"/>
        </w:rPr>
        <w:t>Selected research and innovation (R&amp;I) projects shall comply with the following conditions:</w:t>
      </w:r>
    </w:p>
    <w:p w14:paraId="2EB9C987" w14:textId="67592845" w:rsidR="007A4015" w:rsidRPr="00AB423F" w:rsidRDefault="007A4015" w:rsidP="007A4015">
      <w:pPr>
        <w:pBdr>
          <w:top w:val="single" w:sz="4" w:space="1" w:color="auto"/>
          <w:left w:val="single" w:sz="4" w:space="4" w:color="auto"/>
          <w:bottom w:val="single" w:sz="4" w:space="1" w:color="auto"/>
          <w:right w:val="single" w:sz="4" w:space="4" w:color="auto"/>
        </w:pBdr>
        <w:rPr>
          <w:lang w:val="en-GB"/>
        </w:rPr>
      </w:pPr>
      <w:r w:rsidRPr="00AB423F">
        <w:rPr>
          <w:lang w:val="en-GB"/>
        </w:rPr>
        <w:t>-</w:t>
      </w:r>
      <w:r w:rsidR="000D1193" w:rsidRPr="00AB423F">
        <w:rPr>
          <w:lang w:val="en-GB"/>
        </w:rPr>
        <w:t xml:space="preserve"> </w:t>
      </w:r>
      <w:r w:rsidRPr="00AB423F">
        <w:rPr>
          <w:lang w:val="en-GB"/>
        </w:rPr>
        <w:t>The R&amp;I exclusively or primarily focuses on low-impact options (such as renewable hydrogen production or other zero emission environmental innovations); or</w:t>
      </w:r>
    </w:p>
    <w:p w14:paraId="2874FD1C" w14:textId="77777777" w:rsidR="007A4015" w:rsidRPr="00AB423F" w:rsidRDefault="007A4015" w:rsidP="007A4015">
      <w:pPr>
        <w:pBdr>
          <w:top w:val="single" w:sz="4" w:space="1" w:color="auto"/>
          <w:left w:val="single" w:sz="4" w:space="4" w:color="auto"/>
          <w:bottom w:val="single" w:sz="4" w:space="1" w:color="auto"/>
          <w:right w:val="single" w:sz="4" w:space="4" w:color="auto"/>
        </w:pBdr>
        <w:rPr>
          <w:lang w:val="en-GB"/>
        </w:rPr>
      </w:pPr>
      <w:r w:rsidRPr="00AB423F">
        <w:rPr>
          <w:lang w:val="en-GB"/>
        </w:rPr>
        <w:t>- The R&amp;I is dedicated to improving “best in class” technology (such as technologies with the most limited impact (but not zero / low impact) among those currently available), and appropriate flanking measures are put in place to prevent lock-in effects (measures enabling the uptake of low impact technologies, or their development); or</w:t>
      </w:r>
    </w:p>
    <w:p w14:paraId="2B1EF670" w14:textId="77777777" w:rsidR="007A4015" w:rsidRPr="00AB423F" w:rsidRDefault="007A4015" w:rsidP="007A4015">
      <w:pPr>
        <w:pBdr>
          <w:top w:val="single" w:sz="4" w:space="1" w:color="auto"/>
          <w:left w:val="single" w:sz="4" w:space="4" w:color="auto"/>
          <w:bottom w:val="single" w:sz="4" w:space="1" w:color="auto"/>
          <w:right w:val="single" w:sz="4" w:space="4" w:color="auto"/>
        </w:pBdr>
        <w:rPr>
          <w:lang w:val="en-GB"/>
        </w:rPr>
      </w:pPr>
      <w:r w:rsidRPr="00AB423F">
        <w:rPr>
          <w:lang w:val="en-GB"/>
        </w:rPr>
        <w:t>- The results of the R&amp;I process are technologically neutral at the level of their application (i.e. they may be applied across all available technologies)</w:t>
      </w:r>
    </w:p>
    <w:p w14:paraId="42774FEA" w14:textId="5DE0E34E" w:rsidR="00757733" w:rsidRPr="00AB423F" w:rsidRDefault="007A4015" w:rsidP="007A4015">
      <w:pPr>
        <w:pBdr>
          <w:top w:val="single" w:sz="4" w:space="1" w:color="auto"/>
          <w:left w:val="single" w:sz="4" w:space="4" w:color="auto"/>
          <w:bottom w:val="single" w:sz="4" w:space="1" w:color="auto"/>
          <w:right w:val="single" w:sz="4" w:space="4" w:color="auto"/>
        </w:pBdr>
        <w:rPr>
          <w:lang w:val="en-GB"/>
        </w:rPr>
      </w:pPr>
      <w:r w:rsidRPr="00AB423F">
        <w:rPr>
          <w:lang w:val="en-GB"/>
        </w:rPr>
        <w:t>- Any electricity used in the projects is of green origin (such as using RES-e) or based on green PPAs.</w:t>
      </w:r>
    </w:p>
    <w:bookmarkEnd w:id="0"/>
    <w:p w14:paraId="76418D0F" w14:textId="71D53ADA" w:rsidR="001576BD" w:rsidRPr="00AB423F" w:rsidRDefault="54C49319" w:rsidP="00212D8D">
      <w:pPr>
        <w:pBdr>
          <w:top w:val="single" w:sz="4" w:space="1" w:color="auto"/>
          <w:left w:val="single" w:sz="4" w:space="4" w:color="auto"/>
          <w:bottom w:val="single" w:sz="4" w:space="1" w:color="auto"/>
          <w:right w:val="single" w:sz="4" w:space="4" w:color="auto"/>
        </w:pBdr>
        <w:rPr>
          <w:b/>
          <w:bCs/>
          <w:u w:val="single"/>
          <w:lang w:val="en-GB"/>
        </w:rPr>
      </w:pPr>
      <w:r w:rsidRPr="00AB423F">
        <w:rPr>
          <w:b/>
          <w:bCs/>
          <w:u w:val="single"/>
          <w:lang w:val="en-GB"/>
        </w:rPr>
        <w:t>V</w:t>
      </w:r>
      <w:r w:rsidR="0C0FE71B" w:rsidRPr="00AB423F">
        <w:rPr>
          <w:b/>
          <w:bCs/>
          <w:u w:val="single"/>
          <w:lang w:val="en-GB"/>
        </w:rPr>
        <w:t>erification mechanism</w:t>
      </w:r>
      <w:r w:rsidR="001576BD" w:rsidRPr="00AB423F">
        <w:rPr>
          <w:b/>
          <w:bCs/>
          <w:u w:val="single"/>
          <w:lang w:val="en-GB"/>
        </w:rPr>
        <w:t>:</w:t>
      </w:r>
    </w:p>
    <w:p w14:paraId="5F3CEAF7" w14:textId="1D3A7FB3" w:rsidR="007A4015" w:rsidRPr="00843AE0" w:rsidRDefault="007A4015" w:rsidP="007A4015">
      <w:pPr>
        <w:pBdr>
          <w:top w:val="single" w:sz="4" w:space="1" w:color="auto"/>
          <w:left w:val="single" w:sz="4" w:space="4" w:color="auto"/>
          <w:bottom w:val="single" w:sz="4" w:space="1" w:color="auto"/>
          <w:right w:val="single" w:sz="4" w:space="4" w:color="auto"/>
        </w:pBdr>
        <w:rPr>
          <w:lang w:val="en-GB"/>
        </w:rPr>
      </w:pPr>
      <w:r w:rsidRPr="00843AE0">
        <w:rPr>
          <w:lang w:val="en-GB"/>
        </w:rPr>
        <w:t>Summary document duly justifying how the milestone (including the relevant elements of the milestone, as listed in the description of milestone and of the corresponding measure in the CID annex) was satisfactorily fulfilled. This document shall include as an annex the following documentary evidence:</w:t>
      </w:r>
    </w:p>
    <w:p w14:paraId="3F0EFBAB" w14:textId="77777777" w:rsidR="007A4015" w:rsidRPr="00843AE0" w:rsidRDefault="007A4015" w:rsidP="007A4015">
      <w:pPr>
        <w:pBdr>
          <w:top w:val="single" w:sz="4" w:space="1" w:color="auto"/>
          <w:left w:val="single" w:sz="4" w:space="4" w:color="auto"/>
          <w:bottom w:val="single" w:sz="4" w:space="1" w:color="auto"/>
          <w:right w:val="single" w:sz="4" w:space="4" w:color="auto"/>
        </w:pBdr>
        <w:rPr>
          <w:lang w:val="en-GB"/>
        </w:rPr>
      </w:pPr>
      <w:r w:rsidRPr="00843AE0">
        <w:rPr>
          <w:lang w:val="en-GB"/>
        </w:rPr>
        <w:t>1. Copy of the communication to the applicants, internal guidance documents, selection guidelines, copy of the jury reports that ensure compliance of selected projects with provisions specified in the CID annex (exclusion of ETS activities with emissions that are not significantly below ETS benchmarks and conditions on R&amp;I projects) and demonstrating the application of the above-mentioned selection criteria for each selected project.</w:t>
      </w:r>
    </w:p>
    <w:p w14:paraId="3CD9A537" w14:textId="77777777" w:rsidR="007A4015" w:rsidRPr="00843AE0" w:rsidRDefault="007A4015" w:rsidP="007A4015">
      <w:pPr>
        <w:pBdr>
          <w:top w:val="single" w:sz="4" w:space="1" w:color="auto"/>
          <w:left w:val="single" w:sz="4" w:space="4" w:color="auto"/>
          <w:bottom w:val="single" w:sz="4" w:space="1" w:color="auto"/>
          <w:right w:val="single" w:sz="4" w:space="4" w:color="auto"/>
        </w:pBdr>
        <w:rPr>
          <w:lang w:val="en-GB"/>
        </w:rPr>
      </w:pPr>
      <w:r w:rsidRPr="00843AE0">
        <w:rPr>
          <w:lang w:val="en-GB"/>
        </w:rPr>
        <w:t>2. As far as GHG emissions for activities subject to ETS are concerned, instructions to applicants requiring the applicants to:</w:t>
      </w:r>
    </w:p>
    <w:p w14:paraId="04A3FD82" w14:textId="77777777" w:rsidR="007A4015" w:rsidRPr="00843AE0" w:rsidRDefault="007A4015" w:rsidP="007A4015">
      <w:pPr>
        <w:pBdr>
          <w:top w:val="single" w:sz="4" w:space="1" w:color="auto"/>
          <w:left w:val="single" w:sz="4" w:space="4" w:color="auto"/>
          <w:bottom w:val="single" w:sz="4" w:space="1" w:color="auto"/>
          <w:right w:val="single" w:sz="4" w:space="4" w:color="auto"/>
        </w:pBdr>
        <w:rPr>
          <w:lang w:val="en-GB"/>
        </w:rPr>
      </w:pPr>
      <w:r w:rsidRPr="00843AE0">
        <w:rPr>
          <w:lang w:val="en-GB"/>
        </w:rPr>
        <w:t>i) provide and substantiate the projected level of GHG emissions per unit of product for awarded projects with activities under the EU ETS;</w:t>
      </w:r>
    </w:p>
    <w:p w14:paraId="2241257E" w14:textId="77777777" w:rsidR="007A4015" w:rsidRPr="00843AE0" w:rsidRDefault="007A4015" w:rsidP="007A4015">
      <w:pPr>
        <w:pBdr>
          <w:top w:val="single" w:sz="4" w:space="1" w:color="auto"/>
          <w:left w:val="single" w:sz="4" w:space="4" w:color="auto"/>
          <w:bottom w:val="single" w:sz="4" w:space="1" w:color="auto"/>
          <w:right w:val="single" w:sz="4" w:space="4" w:color="auto"/>
        </w:pBdr>
        <w:rPr>
          <w:lang w:val="en-GB"/>
        </w:rPr>
      </w:pPr>
      <w:r w:rsidRPr="00843AE0">
        <w:rPr>
          <w:lang w:val="en-GB"/>
        </w:rPr>
        <w:t>ii) indicate the sector to which the activity concerned by the project belongs and to indicate which ETS benchmarks are applicable; and</w:t>
      </w:r>
    </w:p>
    <w:p w14:paraId="38480E44" w14:textId="77777777" w:rsidR="007A4015" w:rsidRPr="00843AE0" w:rsidRDefault="007A4015" w:rsidP="007A4015">
      <w:pPr>
        <w:pBdr>
          <w:top w:val="single" w:sz="4" w:space="1" w:color="auto"/>
          <w:left w:val="single" w:sz="4" w:space="4" w:color="auto"/>
          <w:bottom w:val="single" w:sz="4" w:space="1" w:color="auto"/>
          <w:right w:val="single" w:sz="4" w:space="4" w:color="auto"/>
        </w:pBdr>
        <w:rPr>
          <w:lang w:val="en-GB"/>
        </w:rPr>
      </w:pPr>
      <w:r w:rsidRPr="00843AE0">
        <w:rPr>
          <w:lang w:val="en-GB"/>
        </w:rPr>
        <w:t>iii) to detail the hypotheses taken in account to estimate demonstrate that the project will achieve GHG gas emissions that are significantly lower than the relevant benchmarks for free allocation, as set out in the Commission Implementing Regulation (EU) 2021/447.</w:t>
      </w:r>
    </w:p>
    <w:p w14:paraId="3F582916" w14:textId="77777777" w:rsidR="007A4015" w:rsidRPr="00843AE0" w:rsidRDefault="007A4015" w:rsidP="007A4015">
      <w:pPr>
        <w:pBdr>
          <w:top w:val="single" w:sz="4" w:space="1" w:color="auto"/>
          <w:left w:val="single" w:sz="4" w:space="4" w:color="auto"/>
          <w:bottom w:val="single" w:sz="4" w:space="1" w:color="auto"/>
          <w:right w:val="single" w:sz="4" w:space="4" w:color="auto"/>
        </w:pBdr>
        <w:rPr>
          <w:lang w:val="en-GB"/>
        </w:rPr>
      </w:pPr>
      <w:r w:rsidRPr="00843AE0">
        <w:rPr>
          <w:lang w:val="en-GB"/>
        </w:rPr>
        <w:t>3. Copy of contract(s) award notification.</w:t>
      </w:r>
    </w:p>
    <w:p w14:paraId="342CF76D" w14:textId="77777777" w:rsidR="007A4015" w:rsidRPr="00843AE0" w:rsidRDefault="007A4015" w:rsidP="007A4015">
      <w:pPr>
        <w:pBdr>
          <w:top w:val="single" w:sz="4" w:space="1" w:color="auto"/>
          <w:left w:val="single" w:sz="4" w:space="4" w:color="auto"/>
          <w:bottom w:val="single" w:sz="4" w:space="1" w:color="auto"/>
          <w:right w:val="single" w:sz="4" w:space="4" w:color="auto"/>
        </w:pBdr>
        <w:rPr>
          <w:lang w:val="en-GB"/>
        </w:rPr>
      </w:pPr>
      <w:r w:rsidRPr="00843AE0">
        <w:rPr>
          <w:lang w:val="en-GB"/>
        </w:rPr>
        <w:lastRenderedPageBreak/>
        <w:t>4. Spreadsheet with a list of selected projects with beneficiaries, brief description of project, location, justifications that requirement of the CID are fulfilled.</w:t>
      </w:r>
    </w:p>
    <w:p w14:paraId="3C1CE08C" w14:textId="77777777" w:rsidR="007A4015" w:rsidRPr="00843AE0" w:rsidRDefault="007A4015" w:rsidP="007A4015">
      <w:pPr>
        <w:pBdr>
          <w:top w:val="single" w:sz="4" w:space="1" w:color="auto"/>
          <w:left w:val="single" w:sz="4" w:space="4" w:color="auto"/>
          <w:bottom w:val="single" w:sz="4" w:space="1" w:color="auto"/>
          <w:right w:val="single" w:sz="4" w:space="4" w:color="auto"/>
        </w:pBdr>
        <w:rPr>
          <w:lang w:val="en-GB"/>
        </w:rPr>
      </w:pPr>
      <w:r w:rsidRPr="00843AE0">
        <w:rPr>
          <w:lang w:val="en-GB"/>
        </w:rPr>
        <w:t>5. The copy of the DNSH assessment for each project including supporting evidence on which the decision has been taken upon.</w:t>
      </w:r>
    </w:p>
    <w:p w14:paraId="3ADF2D6E" w14:textId="77777777" w:rsidR="007A4015" w:rsidRPr="00843AE0" w:rsidRDefault="007A4015" w:rsidP="007A4015">
      <w:pPr>
        <w:pBdr>
          <w:top w:val="single" w:sz="4" w:space="1" w:color="auto"/>
          <w:left w:val="single" w:sz="4" w:space="4" w:color="auto"/>
          <w:bottom w:val="single" w:sz="4" w:space="1" w:color="auto"/>
          <w:right w:val="single" w:sz="4" w:space="4" w:color="auto"/>
        </w:pBdr>
        <w:rPr>
          <w:lang w:val="en-GB"/>
        </w:rPr>
      </w:pPr>
      <w:r w:rsidRPr="00843AE0">
        <w:rPr>
          <w:lang w:val="en-GB"/>
        </w:rPr>
        <w:t>6. For awarded projects with activities under the EU ETS:</w:t>
      </w:r>
    </w:p>
    <w:p w14:paraId="1EDEB53F" w14:textId="77777777" w:rsidR="007A4015" w:rsidRPr="00843AE0" w:rsidRDefault="007A4015" w:rsidP="007A4015">
      <w:pPr>
        <w:pBdr>
          <w:top w:val="single" w:sz="4" w:space="1" w:color="auto"/>
          <w:left w:val="single" w:sz="4" w:space="4" w:color="auto"/>
          <w:bottom w:val="single" w:sz="4" w:space="1" w:color="auto"/>
          <w:right w:val="single" w:sz="4" w:space="4" w:color="auto"/>
        </w:pBdr>
        <w:rPr>
          <w:lang w:val="en-GB"/>
        </w:rPr>
      </w:pPr>
      <w:r w:rsidRPr="00843AE0">
        <w:rPr>
          <w:lang w:val="en-GB"/>
        </w:rPr>
        <w:t>a) Extract from the application demonstrating that the projected level of GHG emissions per unit of product will be significantly lower compared to the relevant benchmarks under the followed hypothesis;</w:t>
      </w:r>
    </w:p>
    <w:p w14:paraId="60DBF505" w14:textId="77777777" w:rsidR="007A4015" w:rsidRPr="00843AE0" w:rsidRDefault="007A4015" w:rsidP="007A4015">
      <w:pPr>
        <w:pBdr>
          <w:top w:val="single" w:sz="4" w:space="1" w:color="auto"/>
          <w:left w:val="single" w:sz="4" w:space="4" w:color="auto"/>
          <w:bottom w:val="single" w:sz="4" w:space="1" w:color="auto"/>
          <w:right w:val="single" w:sz="4" w:space="4" w:color="auto"/>
        </w:pBdr>
        <w:rPr>
          <w:lang w:val="en-GB"/>
        </w:rPr>
      </w:pPr>
      <w:r w:rsidRPr="00843AE0">
        <w:rPr>
          <w:lang w:val="en-GB"/>
        </w:rPr>
        <w:t>b) Summary information on the type of intervention and/or the change of technology implemented.</w:t>
      </w:r>
    </w:p>
    <w:p w14:paraId="7153B76D" w14:textId="77777777" w:rsidR="007A4015" w:rsidRPr="00843AE0" w:rsidRDefault="007A4015" w:rsidP="007A4015">
      <w:pPr>
        <w:pBdr>
          <w:top w:val="single" w:sz="4" w:space="1" w:color="auto"/>
          <w:left w:val="single" w:sz="4" w:space="4" w:color="auto"/>
          <w:bottom w:val="single" w:sz="4" w:space="1" w:color="auto"/>
          <w:right w:val="single" w:sz="4" w:space="4" w:color="auto"/>
        </w:pBdr>
        <w:rPr>
          <w:lang w:val="en-GB"/>
        </w:rPr>
      </w:pPr>
      <w:r w:rsidRPr="00843AE0">
        <w:rPr>
          <w:lang w:val="en-GB"/>
        </w:rPr>
        <w:t>c) For EU ETS operators a unique identifier, the name, the location, the Installation ID/Aircraft Operator ID in the European Union Transaction Log (EUTL).</w:t>
      </w:r>
    </w:p>
    <w:p w14:paraId="33B0BF0B" w14:textId="77777777" w:rsidR="007A4015" w:rsidRPr="00843AE0" w:rsidRDefault="007A4015" w:rsidP="007A4015">
      <w:pPr>
        <w:pBdr>
          <w:top w:val="single" w:sz="4" w:space="1" w:color="auto"/>
          <w:left w:val="single" w:sz="4" w:space="4" w:color="auto"/>
          <w:bottom w:val="single" w:sz="4" w:space="1" w:color="auto"/>
          <w:right w:val="single" w:sz="4" w:space="4" w:color="auto"/>
        </w:pBdr>
        <w:rPr>
          <w:lang w:val="en-GB"/>
        </w:rPr>
      </w:pPr>
      <w:r w:rsidRPr="00843AE0">
        <w:rPr>
          <w:lang w:val="en-GB"/>
        </w:rPr>
        <w:t>7. For projects involving the use of electricity, abstract from contractual clauses requiring the electricity to be used for the production of hydrogen to be of green origin or based on green PPAs.</w:t>
      </w:r>
    </w:p>
    <w:p w14:paraId="1E9DD8F2" w14:textId="77777777" w:rsidR="007A4015" w:rsidRPr="00843AE0" w:rsidRDefault="007A4015" w:rsidP="007A4015">
      <w:pPr>
        <w:pBdr>
          <w:top w:val="single" w:sz="4" w:space="1" w:color="auto"/>
          <w:left w:val="single" w:sz="4" w:space="4" w:color="auto"/>
          <w:bottom w:val="single" w:sz="4" w:space="1" w:color="auto"/>
          <w:right w:val="single" w:sz="4" w:space="4" w:color="auto"/>
        </w:pBdr>
        <w:rPr>
          <w:lang w:val="en-GB"/>
        </w:rPr>
      </w:pPr>
      <w:r w:rsidRPr="00843AE0">
        <w:rPr>
          <w:lang w:val="en-GB"/>
        </w:rPr>
        <w:t>8. For R&amp;I projects:</w:t>
      </w:r>
    </w:p>
    <w:p w14:paraId="28988E7D" w14:textId="77777777" w:rsidR="007A4015" w:rsidRPr="00843AE0" w:rsidRDefault="007A4015" w:rsidP="007A4015">
      <w:pPr>
        <w:pBdr>
          <w:top w:val="single" w:sz="4" w:space="1" w:color="auto"/>
          <w:left w:val="single" w:sz="4" w:space="4" w:color="auto"/>
          <w:bottom w:val="single" w:sz="4" w:space="1" w:color="auto"/>
          <w:right w:val="single" w:sz="4" w:space="4" w:color="auto"/>
        </w:pBdr>
        <w:rPr>
          <w:lang w:val="en-GB"/>
        </w:rPr>
      </w:pPr>
      <w:r w:rsidRPr="00843AE0">
        <w:rPr>
          <w:lang w:val="en-GB"/>
        </w:rPr>
        <w:t xml:space="preserve">- evidences (i.e. abstract from the project description, description of the state of the art, description of the energy supply for hydrogen, GHG emissions output) demonstrating the R&amp;I focus of the project on low impact technologies or zero emission </w:t>
      </w:r>
    </w:p>
    <w:p w14:paraId="7F9F0B54" w14:textId="77777777" w:rsidR="007A4015" w:rsidRPr="00843AE0" w:rsidRDefault="007A4015" w:rsidP="007A4015">
      <w:pPr>
        <w:pBdr>
          <w:top w:val="single" w:sz="4" w:space="1" w:color="auto"/>
          <w:left w:val="single" w:sz="4" w:space="4" w:color="auto"/>
          <w:bottom w:val="single" w:sz="4" w:space="1" w:color="auto"/>
          <w:right w:val="single" w:sz="4" w:space="4" w:color="auto"/>
        </w:pBdr>
        <w:rPr>
          <w:lang w:val="en-GB"/>
        </w:rPr>
      </w:pPr>
      <w:r w:rsidRPr="00843AE0">
        <w:rPr>
          <w:lang w:val="en-GB"/>
        </w:rPr>
        <w:t>OR</w:t>
      </w:r>
    </w:p>
    <w:p w14:paraId="13827F05" w14:textId="77777777" w:rsidR="007A4015" w:rsidRPr="00843AE0" w:rsidRDefault="007A4015" w:rsidP="007A4015">
      <w:pPr>
        <w:pBdr>
          <w:top w:val="single" w:sz="4" w:space="1" w:color="auto"/>
          <w:left w:val="single" w:sz="4" w:space="4" w:color="auto"/>
          <w:bottom w:val="single" w:sz="4" w:space="1" w:color="auto"/>
          <w:right w:val="single" w:sz="4" w:space="4" w:color="auto"/>
        </w:pBdr>
        <w:rPr>
          <w:lang w:val="en-GB"/>
        </w:rPr>
      </w:pPr>
      <w:r w:rsidRPr="00843AE0">
        <w:rPr>
          <w:lang w:val="en-GB"/>
        </w:rPr>
        <w:t>- a demonstration the projects have focused on improving technologies with the most limited impact including a comparison grid. A description of planned/adopted flanking measures to prevent lock-in effects and the contribution of measures taken for the uptake or development of low impact technologies.</w:t>
      </w:r>
    </w:p>
    <w:p w14:paraId="252D09E5" w14:textId="3C4C91CD" w:rsidR="002B2C14" w:rsidRPr="00843AE0" w:rsidRDefault="007A4015" w:rsidP="00212D8D">
      <w:pPr>
        <w:pBdr>
          <w:top w:val="single" w:sz="4" w:space="1" w:color="auto"/>
          <w:left w:val="single" w:sz="4" w:space="4" w:color="auto"/>
          <w:bottom w:val="single" w:sz="4" w:space="1" w:color="auto"/>
          <w:right w:val="single" w:sz="4" w:space="4" w:color="auto"/>
        </w:pBdr>
        <w:rPr>
          <w:lang w:val="en-GB"/>
        </w:rPr>
      </w:pPr>
      <w:r w:rsidRPr="00843AE0">
        <w:rPr>
          <w:lang w:val="en-GB"/>
        </w:rPr>
        <w:t>OR demonstration of how the selected technologies can be applied across different fields. It is expected for R&amp;I project to include a description of the state of the art for available technologies, a description of the current performance of the technology in terms of emissions and evidence on the expected improvement.</w:t>
      </w:r>
    </w:p>
    <w:p w14:paraId="5D9D4E3E" w14:textId="18D15C80" w:rsidR="00AC44FF" w:rsidRPr="00AB423F" w:rsidRDefault="001576BD" w:rsidP="009C1B25">
      <w:pPr>
        <w:rPr>
          <w:b/>
          <w:u w:val="single"/>
          <w:lang w:val="en-GB"/>
        </w:rPr>
      </w:pPr>
      <w:r w:rsidRPr="00AB423F">
        <w:rPr>
          <w:b/>
          <w:u w:val="single"/>
          <w:lang w:val="en-GB"/>
        </w:rPr>
        <w:t xml:space="preserve">A. </w:t>
      </w:r>
      <w:r w:rsidR="002B40F1" w:rsidRPr="00AB423F">
        <w:rPr>
          <w:b/>
          <w:u w:val="single"/>
          <w:lang w:val="en-GB"/>
        </w:rPr>
        <w:t>E</w:t>
      </w:r>
      <w:r w:rsidR="00F91B2C" w:rsidRPr="00AB423F">
        <w:rPr>
          <w:b/>
          <w:u w:val="single"/>
          <w:lang w:val="en-GB"/>
        </w:rPr>
        <w:t>vidence provided:</w:t>
      </w:r>
    </w:p>
    <w:p w14:paraId="32D66A60" w14:textId="08113E82" w:rsidR="00B35776" w:rsidRPr="00843AE0" w:rsidRDefault="00B35776" w:rsidP="00B35776">
      <w:pPr>
        <w:pStyle w:val="Lijstalinea"/>
        <w:numPr>
          <w:ilvl w:val="0"/>
          <w:numId w:val="13"/>
        </w:numPr>
        <w:rPr>
          <w:lang w:val="en-GB"/>
        </w:rPr>
      </w:pPr>
      <w:r w:rsidRPr="00843AE0">
        <w:rPr>
          <w:u w:val="single"/>
          <w:lang w:val="en-GB"/>
        </w:rPr>
        <w:t>Annex 1. Internal guidance - Werkwijze DNSH - I-1.6</w:t>
      </w:r>
      <w:r w:rsidRPr="00843AE0">
        <w:rPr>
          <w:lang w:val="en-GB"/>
        </w:rPr>
        <w:t>: internal guidance for the application of DNSH-requirements</w:t>
      </w:r>
    </w:p>
    <w:p w14:paraId="225F8498" w14:textId="6332B6A0" w:rsidR="00B35776" w:rsidRPr="00843AE0" w:rsidRDefault="00B35776" w:rsidP="00B35776">
      <w:pPr>
        <w:pStyle w:val="Lijstalinea"/>
        <w:numPr>
          <w:ilvl w:val="0"/>
          <w:numId w:val="13"/>
        </w:numPr>
        <w:rPr>
          <w:lang w:val="en-GB"/>
        </w:rPr>
      </w:pPr>
      <w:r w:rsidRPr="00843AE0">
        <w:rPr>
          <w:lang w:val="en-GB"/>
        </w:rPr>
        <w:t xml:space="preserve">Annex </w:t>
      </w:r>
      <w:r w:rsidR="00A52647" w:rsidRPr="00843AE0">
        <w:rPr>
          <w:u w:val="single"/>
          <w:lang w:val="en-GB"/>
        </w:rPr>
        <w:t>1bis – Notes VR - Projects milestone 22.zip</w:t>
      </w:r>
      <w:r w:rsidR="004A214C" w:rsidRPr="00AB423F">
        <w:rPr>
          <w:bCs/>
          <w:u w:val="single"/>
          <w:lang w:val="en-GB"/>
        </w:rPr>
        <w:t xml:space="preserve">: </w:t>
      </w:r>
      <w:r w:rsidR="00A52647" w:rsidRPr="00AB423F">
        <w:rPr>
          <w:bCs/>
          <w:lang w:val="en-GB"/>
        </w:rPr>
        <w:t xml:space="preserve">decision notes of the Flemish government with a </w:t>
      </w:r>
      <w:r w:rsidR="004A214C" w:rsidRPr="00AB423F">
        <w:rPr>
          <w:bCs/>
          <w:lang w:val="en-GB"/>
        </w:rPr>
        <w:t xml:space="preserve">short description of the project and </w:t>
      </w:r>
      <w:r w:rsidR="00B43DEB" w:rsidRPr="00AB423F">
        <w:rPr>
          <w:bCs/>
          <w:lang w:val="en-GB"/>
        </w:rPr>
        <w:t>the</w:t>
      </w:r>
      <w:r w:rsidR="004A214C" w:rsidRPr="00AB423F">
        <w:rPr>
          <w:bCs/>
          <w:lang w:val="en-GB"/>
        </w:rPr>
        <w:t xml:space="preserve"> conditions that have to be met by the projects</w:t>
      </w:r>
    </w:p>
    <w:p w14:paraId="4B1DEA1C" w14:textId="54A146F0" w:rsidR="004A214C" w:rsidRPr="00843AE0" w:rsidRDefault="00EE5246" w:rsidP="00B35776">
      <w:pPr>
        <w:pStyle w:val="Lijstalinea"/>
        <w:numPr>
          <w:ilvl w:val="0"/>
          <w:numId w:val="13"/>
        </w:numPr>
        <w:rPr>
          <w:lang w:val="en-GB"/>
        </w:rPr>
      </w:pPr>
      <w:r w:rsidRPr="00843AE0">
        <w:rPr>
          <w:lang w:val="en-GB"/>
        </w:rPr>
        <w:t xml:space="preserve">Annex </w:t>
      </w:r>
      <w:r w:rsidR="006D194A" w:rsidRPr="00AB423F">
        <w:rPr>
          <w:bCs/>
          <w:u w:val="single"/>
          <w:lang w:val="en-GB"/>
        </w:rPr>
        <w:t>3. Award notifications</w:t>
      </w:r>
      <w:r w:rsidR="00C5735E" w:rsidRPr="00AB423F">
        <w:rPr>
          <w:bCs/>
          <w:u w:val="single"/>
          <w:lang w:val="en-GB"/>
        </w:rPr>
        <w:t xml:space="preserve"> -</w:t>
      </w:r>
      <w:r w:rsidR="006D194A" w:rsidRPr="00AB423F">
        <w:rPr>
          <w:bCs/>
          <w:u w:val="single"/>
          <w:lang w:val="en-GB"/>
        </w:rPr>
        <w:t xml:space="preserve"> </w:t>
      </w:r>
      <w:r w:rsidR="00C5735E" w:rsidRPr="00AB423F">
        <w:rPr>
          <w:bCs/>
          <w:u w:val="single"/>
          <w:lang w:val="en-GB"/>
        </w:rPr>
        <w:t>P</w:t>
      </w:r>
      <w:r w:rsidR="006D194A" w:rsidRPr="00AB423F">
        <w:rPr>
          <w:bCs/>
          <w:u w:val="single"/>
          <w:lang w:val="en-GB"/>
        </w:rPr>
        <w:t>rojects milestone 22</w:t>
      </w:r>
      <w:r w:rsidRPr="00AB423F">
        <w:rPr>
          <w:bCs/>
          <w:u w:val="single"/>
          <w:lang w:val="en-GB"/>
        </w:rPr>
        <w:t xml:space="preserve">.zip: </w:t>
      </w:r>
      <w:r w:rsidR="002A2F3A" w:rsidRPr="00AB423F">
        <w:rPr>
          <w:bCs/>
          <w:lang w:val="en-GB"/>
        </w:rPr>
        <w:t>a copy of the contract award notifications for the projects in milestone 2</w:t>
      </w:r>
      <w:r w:rsidR="00091250" w:rsidRPr="00AB423F">
        <w:rPr>
          <w:bCs/>
          <w:lang w:val="en-GB"/>
        </w:rPr>
        <w:t>2</w:t>
      </w:r>
    </w:p>
    <w:p w14:paraId="1FE46978" w14:textId="007E525D" w:rsidR="002A2F3A" w:rsidRPr="00843AE0" w:rsidRDefault="002A2F3A" w:rsidP="00B35776">
      <w:pPr>
        <w:pStyle w:val="Lijstalinea"/>
        <w:numPr>
          <w:ilvl w:val="0"/>
          <w:numId w:val="13"/>
        </w:numPr>
        <w:rPr>
          <w:lang w:val="en-GB"/>
        </w:rPr>
      </w:pPr>
      <w:r w:rsidRPr="00AB423F">
        <w:rPr>
          <w:bCs/>
          <w:u w:val="single"/>
          <w:lang w:val="en-GB"/>
        </w:rPr>
        <w:t>Annex 4. Spreadsheet selected projects milestone 2</w:t>
      </w:r>
      <w:r w:rsidR="00C5735E" w:rsidRPr="00AB423F">
        <w:rPr>
          <w:bCs/>
          <w:u w:val="single"/>
          <w:lang w:val="en-GB"/>
        </w:rPr>
        <w:t>2</w:t>
      </w:r>
      <w:r w:rsidRPr="00AB423F">
        <w:rPr>
          <w:bCs/>
          <w:u w:val="single"/>
          <w:lang w:val="en-GB"/>
        </w:rPr>
        <w:t xml:space="preserve">.xlsx: </w:t>
      </w:r>
      <w:r w:rsidRPr="00AB423F">
        <w:rPr>
          <w:bCs/>
          <w:lang w:val="en-GB"/>
        </w:rPr>
        <w:t>list of the selected projects under milestone 2</w:t>
      </w:r>
      <w:r w:rsidR="00C5735E" w:rsidRPr="00AB423F">
        <w:rPr>
          <w:bCs/>
          <w:lang w:val="en-GB"/>
        </w:rPr>
        <w:t>2</w:t>
      </w:r>
    </w:p>
    <w:p w14:paraId="3CAE0A70" w14:textId="3EEE7243" w:rsidR="005D3C01" w:rsidRPr="00843AE0" w:rsidRDefault="005D3C01" w:rsidP="00B35776">
      <w:pPr>
        <w:pStyle w:val="Lijstalinea"/>
        <w:numPr>
          <w:ilvl w:val="0"/>
          <w:numId w:val="13"/>
        </w:numPr>
        <w:rPr>
          <w:lang w:val="en-GB"/>
        </w:rPr>
      </w:pPr>
      <w:r w:rsidRPr="00AB423F">
        <w:rPr>
          <w:bCs/>
          <w:u w:val="single"/>
          <w:lang w:val="en-GB"/>
        </w:rPr>
        <w:t>Annex 5. DNSH-assessments milestone 2</w:t>
      </w:r>
      <w:r w:rsidR="002A691B" w:rsidRPr="00AB423F">
        <w:rPr>
          <w:bCs/>
          <w:u w:val="single"/>
          <w:lang w:val="en-GB"/>
        </w:rPr>
        <w:t>2</w:t>
      </w:r>
      <w:r w:rsidRPr="00AB423F">
        <w:rPr>
          <w:bCs/>
          <w:u w:val="single"/>
          <w:lang w:val="en-GB"/>
        </w:rPr>
        <w:t xml:space="preserve">.zip: </w:t>
      </w:r>
      <w:r w:rsidRPr="00AB423F">
        <w:rPr>
          <w:bCs/>
          <w:lang w:val="en-GB"/>
        </w:rPr>
        <w:t>copy of the DNSH assessment for each project</w:t>
      </w:r>
    </w:p>
    <w:p w14:paraId="1431E4F0" w14:textId="56CF9E60" w:rsidR="00E8109B" w:rsidRPr="00843AE0" w:rsidRDefault="00E8109B" w:rsidP="00E8109B">
      <w:pPr>
        <w:pStyle w:val="Lijstalinea"/>
        <w:numPr>
          <w:ilvl w:val="0"/>
          <w:numId w:val="13"/>
        </w:numPr>
        <w:rPr>
          <w:lang w:val="en-GB"/>
        </w:rPr>
      </w:pPr>
      <w:r w:rsidRPr="00AB423F">
        <w:rPr>
          <w:bCs/>
          <w:u w:val="single"/>
          <w:lang w:val="en-GB"/>
        </w:rPr>
        <w:t xml:space="preserve">Annex </w:t>
      </w:r>
      <w:r w:rsidR="00911367" w:rsidRPr="00AB423F">
        <w:rPr>
          <w:bCs/>
          <w:u w:val="single"/>
          <w:lang w:val="en-GB"/>
        </w:rPr>
        <w:t>5bis DNSH-assessment IPCEI Hydrogen Industry Hyoffwind (2022.09.09)</w:t>
      </w:r>
      <w:r w:rsidRPr="00AB423F">
        <w:rPr>
          <w:bCs/>
          <w:u w:val="single"/>
          <w:lang w:val="en-GB"/>
        </w:rPr>
        <w:t xml:space="preserve">: </w:t>
      </w:r>
      <w:r w:rsidRPr="00AB423F">
        <w:rPr>
          <w:bCs/>
          <w:lang w:val="en-GB"/>
        </w:rPr>
        <w:t xml:space="preserve">copy of the DNSH assessment for </w:t>
      </w:r>
      <w:r w:rsidR="00503310" w:rsidRPr="00AB423F">
        <w:rPr>
          <w:bCs/>
          <w:lang w:val="en-GB"/>
        </w:rPr>
        <w:t>IPCEI.2021.0005 Hyoffwind</w:t>
      </w:r>
      <w:r w:rsidRPr="00AB423F">
        <w:rPr>
          <w:bCs/>
          <w:lang w:val="en-GB"/>
        </w:rPr>
        <w:t xml:space="preserve"> as submitted as part of the </w:t>
      </w:r>
      <w:r w:rsidR="00911367" w:rsidRPr="00AB423F">
        <w:rPr>
          <w:bCs/>
          <w:lang w:val="en-GB"/>
        </w:rPr>
        <w:t>CEEAG</w:t>
      </w:r>
      <w:r w:rsidRPr="00AB423F">
        <w:rPr>
          <w:bCs/>
          <w:lang w:val="en-GB"/>
        </w:rPr>
        <w:t xml:space="preserve"> state aid notification</w:t>
      </w:r>
    </w:p>
    <w:p w14:paraId="560AA532" w14:textId="2FA6C8A3" w:rsidR="0092069A" w:rsidRPr="00843AE0" w:rsidRDefault="0092069A" w:rsidP="0092069A">
      <w:pPr>
        <w:pStyle w:val="Lijstalinea"/>
        <w:numPr>
          <w:ilvl w:val="0"/>
          <w:numId w:val="13"/>
        </w:numPr>
        <w:rPr>
          <w:lang w:val="en-GB"/>
        </w:rPr>
      </w:pPr>
      <w:r w:rsidRPr="00AB423F">
        <w:rPr>
          <w:bCs/>
          <w:lang w:val="en-GB"/>
        </w:rPr>
        <w:lastRenderedPageBreak/>
        <w:t xml:space="preserve">Annex </w:t>
      </w:r>
      <w:r w:rsidRPr="00AB423F">
        <w:rPr>
          <w:bCs/>
          <w:u w:val="single"/>
          <w:lang w:val="en-GB"/>
        </w:rPr>
        <w:t>6. IPCEI.2022.0002 ArcelorMittal Belgium DNSH.docx</w:t>
      </w:r>
      <w:r w:rsidRPr="00AB423F">
        <w:rPr>
          <w:bCs/>
          <w:lang w:val="en-GB"/>
        </w:rPr>
        <w:t xml:space="preserve">: DNSH assessment for IPCEI.2022.002 Arcelor Mittal RecHycle-DRP FID </w:t>
      </w:r>
      <w:r w:rsidR="007D45DE" w:rsidRPr="00AB423F">
        <w:rPr>
          <w:bCs/>
          <w:lang w:val="en-GB"/>
        </w:rPr>
        <w:t xml:space="preserve">with an annex containing the </w:t>
      </w:r>
      <w:r w:rsidR="007D45DE" w:rsidRPr="00843AE0">
        <w:rPr>
          <w:bCs/>
          <w:lang w:val="en-GB"/>
        </w:rPr>
        <w:t>information specific to ETS-related projects.</w:t>
      </w:r>
    </w:p>
    <w:p w14:paraId="1DDA10CD" w14:textId="544790DC" w:rsidR="001D03E8" w:rsidRPr="00843AE0" w:rsidRDefault="00932406" w:rsidP="0092069A">
      <w:pPr>
        <w:pStyle w:val="Lijstalinea"/>
        <w:numPr>
          <w:ilvl w:val="0"/>
          <w:numId w:val="13"/>
        </w:numPr>
        <w:rPr>
          <w:lang w:val="en-GB"/>
        </w:rPr>
      </w:pPr>
      <w:r w:rsidRPr="00843AE0">
        <w:rPr>
          <w:bCs/>
          <w:lang w:val="en-GB"/>
        </w:rPr>
        <w:t xml:space="preserve">Annex </w:t>
      </w:r>
      <w:r w:rsidRPr="00843AE0">
        <w:rPr>
          <w:bCs/>
          <w:u w:val="single"/>
          <w:lang w:val="en-GB"/>
        </w:rPr>
        <w:t>6bis. ArcelorMittal Belgium DNSH - CEEAG - RFI 5 for SA.64641 BE15 RecHycle-DRP.docx</w:t>
      </w:r>
    </w:p>
    <w:p w14:paraId="39E8DDCF" w14:textId="364D94CA" w:rsidR="00760D82" w:rsidRPr="00843AE0" w:rsidRDefault="00760D82" w:rsidP="0092069A">
      <w:pPr>
        <w:pStyle w:val="Lijstalinea"/>
        <w:numPr>
          <w:ilvl w:val="0"/>
          <w:numId w:val="13"/>
        </w:numPr>
        <w:rPr>
          <w:lang w:val="en-GB"/>
        </w:rPr>
      </w:pPr>
      <w:r w:rsidRPr="00843AE0">
        <w:rPr>
          <w:bCs/>
          <w:lang w:val="en-GB"/>
        </w:rPr>
        <w:t xml:space="preserve">Annex </w:t>
      </w:r>
      <w:r w:rsidRPr="00843AE0">
        <w:rPr>
          <w:bCs/>
          <w:u w:val="single"/>
          <w:lang w:val="en-GB"/>
        </w:rPr>
        <w:t>6ter. Annex calculation phase A - DNSH and substantial contribution calculation 20230323.xlsx</w:t>
      </w:r>
    </w:p>
    <w:p w14:paraId="3A7FFA10" w14:textId="2C3E2AE0" w:rsidR="00932406" w:rsidRPr="00843AE0" w:rsidRDefault="00760D82" w:rsidP="00760D82">
      <w:pPr>
        <w:pStyle w:val="Lijstalinea"/>
        <w:numPr>
          <w:ilvl w:val="0"/>
          <w:numId w:val="13"/>
        </w:numPr>
        <w:rPr>
          <w:lang w:val="en-GB"/>
        </w:rPr>
      </w:pPr>
      <w:r w:rsidRPr="00843AE0">
        <w:rPr>
          <w:lang w:val="en-GB"/>
        </w:rPr>
        <w:t xml:space="preserve">Annex </w:t>
      </w:r>
      <w:r w:rsidRPr="00843AE0">
        <w:rPr>
          <w:u w:val="single"/>
          <w:lang w:val="en-GB"/>
        </w:rPr>
        <w:t>6quater. ArcelorMittal Belgium - state aid SA.104897.pdf</w:t>
      </w:r>
    </w:p>
    <w:p w14:paraId="596F53E6" w14:textId="77777777" w:rsidR="00F91B2C" w:rsidRPr="00AB423F" w:rsidRDefault="001576BD" w:rsidP="00757733">
      <w:pPr>
        <w:jc w:val="both"/>
        <w:rPr>
          <w:b/>
          <w:u w:val="single"/>
          <w:lang w:val="en-GB"/>
        </w:rPr>
      </w:pPr>
      <w:r w:rsidRPr="00AB423F">
        <w:rPr>
          <w:b/>
          <w:u w:val="single"/>
          <w:lang w:val="en-GB"/>
        </w:rPr>
        <w:t xml:space="preserve">B. </w:t>
      </w:r>
      <w:r w:rsidR="00F91B2C" w:rsidRPr="00AB423F">
        <w:rPr>
          <w:b/>
          <w:u w:val="single"/>
          <w:lang w:val="en-GB"/>
        </w:rPr>
        <w:t>Detailed justification:</w:t>
      </w:r>
    </w:p>
    <w:p w14:paraId="43BF9BAD" w14:textId="18F8D682" w:rsidR="00B8407A" w:rsidRPr="00AB423F" w:rsidRDefault="00333664" w:rsidP="00B8407A">
      <w:pPr>
        <w:pBdr>
          <w:top w:val="single" w:sz="4" w:space="1" w:color="auto"/>
          <w:left w:val="single" w:sz="4" w:space="4" w:color="auto"/>
          <w:bottom w:val="single" w:sz="4" w:space="1" w:color="auto"/>
          <w:right w:val="single" w:sz="4" w:space="4" w:color="auto"/>
        </w:pBdr>
        <w:rPr>
          <w:i/>
          <w:iCs/>
          <w:lang w:val="en-GB"/>
        </w:rPr>
      </w:pPr>
      <w:r w:rsidRPr="00AB423F">
        <w:rPr>
          <w:i/>
          <w:iCs/>
          <w:lang w:val="en-GB"/>
        </w:rPr>
        <w:t>[</w:t>
      </w:r>
      <w:r w:rsidR="00F91B2C" w:rsidRPr="00AB423F">
        <w:rPr>
          <w:i/>
          <w:iCs/>
          <w:lang w:val="en-GB"/>
        </w:rPr>
        <w:t xml:space="preserve">Explain clearly </w:t>
      </w:r>
      <w:r w:rsidR="003724C6" w:rsidRPr="00AB423F">
        <w:rPr>
          <w:i/>
          <w:iCs/>
          <w:lang w:val="en-GB"/>
        </w:rPr>
        <w:t>how the achieve</w:t>
      </w:r>
      <w:r w:rsidR="0057538D" w:rsidRPr="00AB423F">
        <w:rPr>
          <w:i/>
          <w:iCs/>
          <w:lang w:val="en-GB"/>
        </w:rPr>
        <w:t xml:space="preserve">ment of the milestone/target </w:t>
      </w:r>
      <w:r w:rsidR="00680F49" w:rsidRPr="00AB423F">
        <w:rPr>
          <w:i/>
          <w:iCs/>
          <w:lang w:val="en-GB"/>
        </w:rPr>
        <w:t>is demonstrated by the evidence provided</w:t>
      </w:r>
      <w:r w:rsidR="00297677" w:rsidRPr="00AB423F">
        <w:rPr>
          <w:i/>
          <w:iCs/>
          <w:lang w:val="en-GB"/>
        </w:rPr>
        <w:t xml:space="preserve">, </w:t>
      </w:r>
      <w:r w:rsidR="00297677" w:rsidRPr="00AB423F">
        <w:rPr>
          <w:b/>
          <w:bCs/>
          <w:i/>
          <w:iCs/>
          <w:lang w:val="en-GB"/>
        </w:rPr>
        <w:t xml:space="preserve">covering </w:t>
      </w:r>
      <w:r w:rsidR="002B2C14" w:rsidRPr="00AB423F">
        <w:rPr>
          <w:b/>
          <w:bCs/>
          <w:i/>
          <w:iCs/>
          <w:lang w:val="en-GB"/>
        </w:rPr>
        <w:t>ALL</w:t>
      </w:r>
      <w:r w:rsidR="00297677" w:rsidRPr="00AB423F">
        <w:rPr>
          <w:b/>
          <w:bCs/>
          <w:i/>
          <w:iCs/>
          <w:lang w:val="en-GB"/>
        </w:rPr>
        <w:t xml:space="preserve"> elements of the milestone</w:t>
      </w:r>
      <w:r w:rsidR="367017FF" w:rsidRPr="00AB423F">
        <w:rPr>
          <w:b/>
          <w:bCs/>
          <w:i/>
          <w:iCs/>
          <w:lang w:val="en-GB"/>
        </w:rPr>
        <w:t>/target</w:t>
      </w:r>
      <w:r w:rsidR="00BE5A63" w:rsidRPr="00AB423F">
        <w:rPr>
          <w:b/>
          <w:bCs/>
          <w:i/>
          <w:iCs/>
          <w:lang w:val="en-GB"/>
        </w:rPr>
        <w:t xml:space="preserve">. </w:t>
      </w:r>
      <w:r w:rsidR="00BE5A63" w:rsidRPr="00AB423F">
        <w:rPr>
          <w:i/>
          <w:iCs/>
          <w:lang w:val="en-GB"/>
        </w:rPr>
        <w:t xml:space="preserve"> (e.g. the fact that (i) a certain </w:t>
      </w:r>
      <w:r w:rsidR="00BE5A63" w:rsidRPr="00AB423F">
        <w:rPr>
          <w:i/>
          <w:iCs/>
          <w:u w:val="single"/>
          <w:lang w:val="en-GB"/>
        </w:rPr>
        <w:t>institution</w:t>
      </w:r>
      <w:r w:rsidR="00BE5A63" w:rsidRPr="00AB423F">
        <w:rPr>
          <w:i/>
          <w:iCs/>
          <w:lang w:val="en-GB"/>
        </w:rPr>
        <w:t xml:space="preserve"> had (ii) to </w:t>
      </w:r>
      <w:r w:rsidR="00BE5A63" w:rsidRPr="00AB423F">
        <w:rPr>
          <w:i/>
          <w:iCs/>
          <w:u w:val="single"/>
          <w:lang w:val="en-GB"/>
        </w:rPr>
        <w:t>accomplish</w:t>
      </w:r>
      <w:r w:rsidR="00BE5A63" w:rsidRPr="00AB423F">
        <w:rPr>
          <w:i/>
          <w:iCs/>
          <w:lang w:val="en-GB"/>
        </w:rPr>
        <w:t xml:space="preserve"> something (iii) in </w:t>
      </w:r>
      <w:r w:rsidR="00BE5A63" w:rsidRPr="00AB423F">
        <w:rPr>
          <w:i/>
          <w:iCs/>
          <w:u w:val="single"/>
          <w:lang w:val="en-GB"/>
        </w:rPr>
        <w:t>a certain w</w:t>
      </w:r>
      <w:r w:rsidR="00BE5A63" w:rsidRPr="00AB423F">
        <w:rPr>
          <w:i/>
          <w:iCs/>
          <w:lang w:val="en-GB"/>
        </w:rPr>
        <w:t xml:space="preserve">ay in order (iv) to </w:t>
      </w:r>
      <w:r w:rsidR="00BE5A63" w:rsidRPr="00AB423F">
        <w:rPr>
          <w:i/>
          <w:iCs/>
          <w:u w:val="single"/>
          <w:lang w:val="en-GB"/>
        </w:rPr>
        <w:t>achieve a certain goal</w:t>
      </w:r>
      <w:r w:rsidR="00BE5A63" w:rsidRPr="00AB423F">
        <w:rPr>
          <w:i/>
          <w:iCs/>
          <w:lang w:val="en-GB"/>
        </w:rPr>
        <w:t xml:space="preserve"> (v) </w:t>
      </w:r>
      <w:r w:rsidR="00BE5A63" w:rsidRPr="00AB423F">
        <w:rPr>
          <w:i/>
          <w:iCs/>
          <w:u w:val="single"/>
          <w:lang w:val="en-GB"/>
        </w:rPr>
        <w:t>by a certain date)</w:t>
      </w:r>
      <w:r w:rsidR="00297677" w:rsidRPr="00AB423F">
        <w:rPr>
          <w:i/>
          <w:iCs/>
          <w:lang w:val="en-GB"/>
        </w:rPr>
        <w:t>.</w:t>
      </w:r>
      <w:r w:rsidR="00B33F95" w:rsidRPr="00AB423F">
        <w:rPr>
          <w:i/>
          <w:iCs/>
          <w:lang w:val="en-GB"/>
        </w:rPr>
        <w:t xml:space="preserve"> </w:t>
      </w:r>
      <w:r w:rsidR="00297677" w:rsidRPr="00AB423F">
        <w:rPr>
          <w:i/>
          <w:iCs/>
          <w:lang w:val="en-GB"/>
        </w:rPr>
        <w:t>T</w:t>
      </w:r>
      <w:r w:rsidR="00E87651" w:rsidRPr="00AB423F">
        <w:rPr>
          <w:i/>
          <w:iCs/>
          <w:lang w:val="en-GB"/>
        </w:rPr>
        <w:t xml:space="preserve">he Commission is </w:t>
      </w:r>
      <w:r w:rsidR="00B33F95" w:rsidRPr="00AB423F">
        <w:rPr>
          <w:i/>
          <w:iCs/>
          <w:lang w:val="en-GB"/>
        </w:rPr>
        <w:t xml:space="preserve">looking </w:t>
      </w:r>
      <w:r w:rsidR="00B33F95" w:rsidRPr="00AB423F">
        <w:rPr>
          <w:b/>
          <w:bCs/>
          <w:i/>
          <w:iCs/>
          <w:lang w:val="en-GB"/>
        </w:rPr>
        <w:t xml:space="preserve">for a clear link between the elements </w:t>
      </w:r>
      <w:r w:rsidR="002B5D77" w:rsidRPr="00AB423F">
        <w:rPr>
          <w:b/>
          <w:bCs/>
          <w:i/>
          <w:iCs/>
          <w:lang w:val="en-GB"/>
        </w:rPr>
        <w:t>of the milestone</w:t>
      </w:r>
      <w:r w:rsidR="47F40EF8" w:rsidRPr="00AB423F">
        <w:rPr>
          <w:b/>
          <w:bCs/>
          <w:i/>
          <w:iCs/>
          <w:lang w:val="en-GB"/>
        </w:rPr>
        <w:t>/target</w:t>
      </w:r>
      <w:r w:rsidR="00B33F95" w:rsidRPr="00AB423F">
        <w:rPr>
          <w:b/>
          <w:bCs/>
          <w:i/>
          <w:iCs/>
          <w:lang w:val="en-GB"/>
        </w:rPr>
        <w:t xml:space="preserve"> and </w:t>
      </w:r>
      <w:r w:rsidR="408F6FCD" w:rsidRPr="00AB423F">
        <w:rPr>
          <w:b/>
          <w:bCs/>
          <w:i/>
          <w:iCs/>
          <w:lang w:val="en-GB"/>
        </w:rPr>
        <w:t xml:space="preserve">the </w:t>
      </w:r>
      <w:r w:rsidR="00B33F95" w:rsidRPr="00AB423F">
        <w:rPr>
          <w:b/>
          <w:bCs/>
          <w:i/>
          <w:iCs/>
          <w:lang w:val="en-GB"/>
        </w:rPr>
        <w:t>evidence provided</w:t>
      </w:r>
      <w:r w:rsidR="00F15971" w:rsidRPr="00AB423F">
        <w:rPr>
          <w:b/>
          <w:bCs/>
          <w:i/>
          <w:iCs/>
          <w:lang w:val="en-GB"/>
        </w:rPr>
        <w:t>.</w:t>
      </w:r>
    </w:p>
    <w:p w14:paraId="24B8488F" w14:textId="6B6AF562" w:rsidR="006819E7" w:rsidRPr="00AB423F" w:rsidRDefault="006819E7" w:rsidP="00757733">
      <w:pPr>
        <w:spacing w:after="0" w:line="240" w:lineRule="auto"/>
        <w:rPr>
          <w:i/>
          <w:iCs/>
          <w:lang w:val="en-GB"/>
        </w:rPr>
      </w:pPr>
    </w:p>
    <w:tbl>
      <w:tblPr>
        <w:tblStyle w:val="Tabelraster"/>
        <w:tblW w:w="0" w:type="auto"/>
        <w:tblLook w:val="04A0" w:firstRow="1" w:lastRow="0" w:firstColumn="1" w:lastColumn="0" w:noHBand="0" w:noVBand="1"/>
      </w:tblPr>
      <w:tblGrid>
        <w:gridCol w:w="9060"/>
      </w:tblGrid>
      <w:tr w:rsidR="00685CD4" w:rsidRPr="00AB423F" w14:paraId="64A1DB89" w14:textId="77777777" w:rsidTr="00685CD4">
        <w:tc>
          <w:tcPr>
            <w:tcW w:w="9060" w:type="dxa"/>
          </w:tcPr>
          <w:p w14:paraId="395DD638" w14:textId="43C7E1AA" w:rsidR="00685CD4" w:rsidRPr="00AB423F" w:rsidRDefault="005115B7" w:rsidP="00685CD4">
            <w:pPr>
              <w:jc w:val="both"/>
              <w:rPr>
                <w:b/>
                <w:bCs/>
              </w:rPr>
            </w:pPr>
            <w:r w:rsidRPr="00843AE0">
              <w:rPr>
                <w:b/>
                <w:bCs/>
                <w:lang w:val="es-ES"/>
              </w:rPr>
              <w:t>1. Copy of the communication to the applicants, internal guidance documents, selection guidelines, copy of the jury reports that ensure compliance of selected projects with provisions specified in the CID annex (exclusion of ETS activities with emissions that are not significantly below ETS benchmarks and conditions on R&amp;I projects) and demonstrating the application of the above-mentioned selection criteria for each selected project.</w:t>
            </w:r>
          </w:p>
          <w:p w14:paraId="41789D25" w14:textId="77777777" w:rsidR="005115B7" w:rsidRPr="00AB423F" w:rsidRDefault="005115B7" w:rsidP="00685CD4">
            <w:pPr>
              <w:jc w:val="both"/>
            </w:pPr>
          </w:p>
          <w:p w14:paraId="4BD36FF9" w14:textId="77777777" w:rsidR="00672340" w:rsidRPr="00843AE0" w:rsidRDefault="00685CD4" w:rsidP="00685CD4">
            <w:pPr>
              <w:jc w:val="both"/>
            </w:pPr>
            <w:r w:rsidRPr="00AB423F">
              <w:t xml:space="preserve">The </w:t>
            </w:r>
            <w:r w:rsidRPr="00843AE0">
              <w:rPr>
                <w:lang w:val="es-ES"/>
              </w:rPr>
              <w:t xml:space="preserve">internal guidance for the application of DNSH-requirements in the CID can be found in </w:t>
            </w:r>
            <w:r w:rsidRPr="00843AE0">
              <w:rPr>
                <w:u w:val="single"/>
                <w:lang w:val="es-ES"/>
              </w:rPr>
              <w:t>“Annex 1. Internal guidance - Werkwijze DNSH - I-1.6</w:t>
            </w:r>
            <w:r w:rsidRPr="00843AE0">
              <w:rPr>
                <w:lang w:val="es-ES"/>
              </w:rPr>
              <w:t xml:space="preserve">”. This document describes the way in which DNSH has been applied in this measure. The template for the self-assessment requires the applicant to provide all the necessary information to demonstrate the application of DNSH selection criteria for each selected project. There are no separate documents for the evaluation of the self-assessments by the applicants. The definitive versions of the assessments were validated by VLAIO and added as an annex to the decision of the Flemish government on the grants for these projects. </w:t>
            </w:r>
          </w:p>
          <w:p w14:paraId="306FF7F4" w14:textId="697688D7" w:rsidR="00685CD4" w:rsidRPr="00AB423F" w:rsidRDefault="00685CD4" w:rsidP="00685CD4">
            <w:pPr>
              <w:jc w:val="both"/>
              <w:rPr>
                <w:bCs/>
              </w:rPr>
            </w:pPr>
            <w:r w:rsidRPr="00843AE0">
              <w:rPr>
                <w:lang w:val="es-ES"/>
              </w:rPr>
              <w:t>The notes of the Flemish government reflect the evaluation of the projects and also make the subsidies conditional on the correct application of DNSH. The notes of the Flemish government for the projects under milestone 2</w:t>
            </w:r>
            <w:r w:rsidR="00503310" w:rsidRPr="00843AE0">
              <w:rPr>
                <w:lang w:val="es-ES"/>
              </w:rPr>
              <w:t>2</w:t>
            </w:r>
            <w:r w:rsidRPr="00843AE0">
              <w:rPr>
                <w:lang w:val="es-ES"/>
              </w:rPr>
              <w:t xml:space="preserve"> are included in Annex </w:t>
            </w:r>
            <w:r w:rsidR="00503310" w:rsidRPr="00843AE0">
              <w:rPr>
                <w:u w:val="single"/>
                <w:lang w:val="es-ES"/>
              </w:rPr>
              <w:t>1bis – Notes VR - Projects milestone 22.zip</w:t>
            </w:r>
            <w:r w:rsidRPr="00AB423F">
              <w:rPr>
                <w:bCs/>
                <w:u w:val="single"/>
              </w:rPr>
              <w:t>.</w:t>
            </w:r>
            <w:r w:rsidRPr="00AB423F">
              <w:rPr>
                <w:bCs/>
              </w:rPr>
              <w:t xml:space="preserve"> These documents include a short description of the project and all conditions that have to be met by the projects.</w:t>
            </w:r>
            <w:r w:rsidR="009B29C0" w:rsidRPr="00AB423F">
              <w:rPr>
                <w:bCs/>
              </w:rPr>
              <w:t xml:space="preserve"> </w:t>
            </w:r>
            <w:r w:rsidR="00830DED" w:rsidRPr="00AB423F">
              <w:rPr>
                <w:bCs/>
              </w:rPr>
              <w:t>As for DNSH, the following condition was included in the decision:</w:t>
            </w:r>
          </w:p>
          <w:p w14:paraId="116FCD50" w14:textId="09243ADA" w:rsidR="00830DED" w:rsidRPr="00AB423F" w:rsidRDefault="00830DED" w:rsidP="00685CD4">
            <w:pPr>
              <w:jc w:val="both"/>
              <w:rPr>
                <w:bCs/>
              </w:rPr>
            </w:pPr>
          </w:p>
          <w:p w14:paraId="4DF266EE" w14:textId="55391D04" w:rsidR="00830DED" w:rsidRPr="00330164" w:rsidRDefault="001D2F35" w:rsidP="00685CD4">
            <w:pPr>
              <w:jc w:val="both"/>
              <w:rPr>
                <w:bCs/>
                <w:i/>
                <w:iCs/>
                <w:lang w:val="nl-BE"/>
              </w:rPr>
            </w:pPr>
            <w:r w:rsidRPr="00843AE0">
              <w:rPr>
                <w:bCs/>
                <w:i/>
                <w:iCs/>
                <w:lang w:val="es-ES"/>
              </w:rPr>
              <w:t xml:space="preserve">“De steunverlening blijft afhankelijk van het voldoen aan al de vereisten en rapporteringen gesteld door de IPCEI-mededeling en de RRF-verordening, met inbegrip van de </w:t>
            </w:r>
            <w:proofErr w:type="spellStart"/>
            <w:r w:rsidRPr="00843AE0">
              <w:rPr>
                <w:bCs/>
                <w:i/>
                <w:iCs/>
                <w:lang w:val="es-ES"/>
              </w:rPr>
              <w:t>vereisten</w:t>
            </w:r>
            <w:proofErr w:type="spellEnd"/>
            <w:r w:rsidRPr="00843AE0">
              <w:rPr>
                <w:bCs/>
                <w:i/>
                <w:iCs/>
                <w:lang w:val="es-ES"/>
              </w:rPr>
              <w:t xml:space="preserve"> </w:t>
            </w:r>
            <w:proofErr w:type="spellStart"/>
            <w:r w:rsidRPr="00843AE0">
              <w:rPr>
                <w:bCs/>
                <w:i/>
                <w:iCs/>
                <w:lang w:val="es-ES"/>
              </w:rPr>
              <w:t>gesteld</w:t>
            </w:r>
            <w:proofErr w:type="spellEnd"/>
            <w:r w:rsidRPr="00843AE0">
              <w:rPr>
                <w:bCs/>
                <w:i/>
                <w:iCs/>
                <w:lang w:val="es-ES"/>
              </w:rPr>
              <w:t xml:space="preserve"> </w:t>
            </w:r>
            <w:proofErr w:type="spellStart"/>
            <w:r w:rsidRPr="00843AE0">
              <w:rPr>
                <w:bCs/>
                <w:i/>
                <w:iCs/>
                <w:lang w:val="es-ES"/>
              </w:rPr>
              <w:t>door</w:t>
            </w:r>
            <w:proofErr w:type="spellEnd"/>
            <w:r w:rsidRPr="00843AE0">
              <w:rPr>
                <w:bCs/>
                <w:i/>
                <w:iCs/>
                <w:lang w:val="es-ES"/>
              </w:rPr>
              <w:t xml:space="preserve"> </w:t>
            </w:r>
            <w:proofErr w:type="spellStart"/>
            <w:r w:rsidRPr="00843AE0">
              <w:rPr>
                <w:bCs/>
                <w:i/>
                <w:iCs/>
                <w:lang w:val="es-ES"/>
              </w:rPr>
              <w:t>het</w:t>
            </w:r>
            <w:proofErr w:type="spellEnd"/>
            <w:r w:rsidRPr="00843AE0">
              <w:rPr>
                <w:bCs/>
                <w:i/>
                <w:iCs/>
                <w:lang w:val="es-ES"/>
              </w:rPr>
              <w:t xml:space="preserve"> DNSH-</w:t>
            </w:r>
            <w:proofErr w:type="spellStart"/>
            <w:r w:rsidRPr="00843AE0">
              <w:rPr>
                <w:bCs/>
                <w:i/>
                <w:iCs/>
                <w:lang w:val="es-ES"/>
              </w:rPr>
              <w:t>principe</w:t>
            </w:r>
            <w:proofErr w:type="spellEnd"/>
            <w:r w:rsidRPr="00843AE0">
              <w:rPr>
                <w:bCs/>
                <w:i/>
                <w:iCs/>
                <w:lang w:val="es-ES"/>
              </w:rPr>
              <w:t>.”</w:t>
            </w:r>
          </w:p>
          <w:p w14:paraId="3996847D" w14:textId="5A98CEC4" w:rsidR="00830DED" w:rsidRPr="00330164" w:rsidRDefault="00830DED" w:rsidP="00685CD4">
            <w:pPr>
              <w:jc w:val="both"/>
              <w:rPr>
                <w:bCs/>
                <w:lang w:val="nl-BE"/>
              </w:rPr>
            </w:pPr>
          </w:p>
          <w:p w14:paraId="33412320" w14:textId="2ED7F3BD" w:rsidR="00270772" w:rsidRPr="00AB423F" w:rsidRDefault="00270772" w:rsidP="00685CD4">
            <w:pPr>
              <w:jc w:val="both"/>
              <w:rPr>
                <w:bCs/>
              </w:rPr>
            </w:pPr>
            <w:r w:rsidRPr="00AB423F">
              <w:rPr>
                <w:bCs/>
              </w:rPr>
              <w:t>[</w:t>
            </w:r>
            <w:r w:rsidRPr="00AB423F">
              <w:rPr>
                <w:bCs/>
                <w:i/>
                <w:iCs/>
              </w:rPr>
              <w:t xml:space="preserve">“The aid remains conditional on </w:t>
            </w:r>
            <w:r w:rsidR="00CF63D9" w:rsidRPr="00AB423F">
              <w:rPr>
                <w:bCs/>
                <w:i/>
                <w:iCs/>
              </w:rPr>
              <w:t>fulfilling</w:t>
            </w:r>
            <w:r w:rsidRPr="00AB423F">
              <w:rPr>
                <w:bCs/>
                <w:i/>
                <w:iCs/>
              </w:rPr>
              <w:t xml:space="preserve"> all the requirements and reporting requirements set by the IPCEI Communication and the RRF Regulation, including those set by the DNSH principle”</w:t>
            </w:r>
            <w:r w:rsidRPr="00AB423F">
              <w:rPr>
                <w:bCs/>
              </w:rPr>
              <w:t>]</w:t>
            </w:r>
          </w:p>
          <w:p w14:paraId="0578F565" w14:textId="77777777" w:rsidR="00E54B11" w:rsidRPr="00AB423F" w:rsidRDefault="00E54B11" w:rsidP="00685CD4">
            <w:pPr>
              <w:jc w:val="both"/>
              <w:rPr>
                <w:bCs/>
              </w:rPr>
            </w:pPr>
          </w:p>
          <w:p w14:paraId="2EEF0994" w14:textId="7EB87E6D" w:rsidR="00EF697F" w:rsidRPr="00AB423F" w:rsidRDefault="00EF697F" w:rsidP="00EF697F">
            <w:pPr>
              <w:autoSpaceDE w:val="0"/>
              <w:autoSpaceDN w:val="0"/>
              <w:adjustRightInd w:val="0"/>
              <w:rPr>
                <w:rFonts w:cstheme="minorHAnsi"/>
                <w:bCs/>
              </w:rPr>
            </w:pPr>
            <w:r w:rsidRPr="00AB423F">
              <w:rPr>
                <w:rFonts w:cstheme="minorHAnsi"/>
                <w:bCs/>
              </w:rPr>
              <w:t xml:space="preserve">In the case of Hyoffwind, 2 notes from the Flemish government were included in the annex. The first note concerns the conditional approval of the subsidy for the project by the Flemish government. Flanders conditionally granted 22.95 million euros of subsidy to the project on 15 July 2022 subject to approval by the Commission in the CEEAG framework in the notification that was pending at the time. Due to an issue with the shareholder structure of the company, which has since been </w:t>
            </w:r>
            <w:r w:rsidR="00E61DEF" w:rsidRPr="00AB423F">
              <w:rPr>
                <w:rFonts w:cstheme="minorHAnsi"/>
                <w:bCs/>
              </w:rPr>
              <w:t>remedied</w:t>
            </w:r>
            <w:r w:rsidRPr="00AB423F">
              <w:rPr>
                <w:rFonts w:cstheme="minorHAnsi"/>
                <w:bCs/>
              </w:rPr>
              <w:t xml:space="preserve">, the application was 'on hold' for a considerable time. When reopening the dialogue with DG Competition, the Commission drew Flanders' attention to the now changed </w:t>
            </w:r>
            <w:r w:rsidRPr="00AB423F">
              <w:rPr>
                <w:rFonts w:cstheme="minorHAnsi"/>
                <w:bCs/>
              </w:rPr>
              <w:lastRenderedPageBreak/>
              <w:t>regulatory environment whereby many of the measures originally foreseen in IPCEI were embedded in the basic state aid rules (General Block Exemption Regulation) which offered opportunities for Flanders to fund the project without the requirement for individual approval. The second note (IPCEI.2023.0001 - Hyoffwind Infrastructure Note_VR 2) confirms the support to the project, integrates the two grant</w:t>
            </w:r>
            <w:r w:rsidR="00BE7324" w:rsidRPr="00AB423F">
              <w:rPr>
                <w:rFonts w:cstheme="minorHAnsi"/>
                <w:bCs/>
              </w:rPr>
              <w:t>s</w:t>
            </w:r>
            <w:r w:rsidRPr="00AB423F">
              <w:rPr>
                <w:rFonts w:cstheme="minorHAnsi"/>
                <w:bCs/>
              </w:rPr>
              <w:t xml:space="preserve"> </w:t>
            </w:r>
            <w:r w:rsidR="00BE7324" w:rsidRPr="00AB423F">
              <w:rPr>
                <w:rFonts w:cstheme="minorHAnsi"/>
                <w:bCs/>
              </w:rPr>
              <w:t xml:space="preserve">previously awarded </w:t>
            </w:r>
            <w:r w:rsidRPr="00AB423F">
              <w:rPr>
                <w:rFonts w:cstheme="minorHAnsi"/>
                <w:bCs/>
              </w:rPr>
              <w:t xml:space="preserve">for the project, contains an update of the activities and a confirmation of the reorganisation of the work plan within the amounts set out in the 2 previous decisions. The total grant for the project is €30 million. This second decision </w:t>
            </w:r>
            <w:r w:rsidR="00BE7324" w:rsidRPr="00AB423F">
              <w:rPr>
                <w:rFonts w:cstheme="minorHAnsi"/>
                <w:bCs/>
              </w:rPr>
              <w:t>also includes a condition on</w:t>
            </w:r>
            <w:r w:rsidRPr="00AB423F">
              <w:rPr>
                <w:rFonts w:cstheme="minorHAnsi"/>
                <w:bCs/>
              </w:rPr>
              <w:t xml:space="preserve"> DNSH</w:t>
            </w:r>
            <w:r w:rsidR="00BE7324" w:rsidRPr="00AB423F">
              <w:rPr>
                <w:rFonts w:cstheme="minorHAnsi"/>
                <w:bCs/>
              </w:rPr>
              <w:t>.</w:t>
            </w:r>
            <w:r w:rsidRPr="00AB423F">
              <w:rPr>
                <w:rFonts w:cstheme="minorHAnsi"/>
                <w:bCs/>
              </w:rPr>
              <w:t xml:space="preserve"> </w:t>
            </w:r>
          </w:p>
          <w:p w14:paraId="234F4C75" w14:textId="77777777" w:rsidR="00EF697F" w:rsidRPr="00AB423F" w:rsidRDefault="00EF697F" w:rsidP="00EF697F">
            <w:pPr>
              <w:autoSpaceDE w:val="0"/>
              <w:autoSpaceDN w:val="0"/>
              <w:adjustRightInd w:val="0"/>
              <w:rPr>
                <w:rFonts w:cstheme="minorHAnsi"/>
                <w:bCs/>
              </w:rPr>
            </w:pPr>
          </w:p>
          <w:p w14:paraId="4CB7ED13" w14:textId="7A983169" w:rsidR="00330845" w:rsidRPr="00AB423F" w:rsidRDefault="00330845" w:rsidP="00330845">
            <w:pPr>
              <w:jc w:val="both"/>
              <w:rPr>
                <w:bCs/>
              </w:rPr>
            </w:pPr>
            <w:r w:rsidRPr="00AB423F">
              <w:rPr>
                <w:bCs/>
              </w:rPr>
              <w:t xml:space="preserve">Regarding the investment in decarbonisation of steel production at Arcelor Mittal Gent: this investment was split into four different administrative files: a </w:t>
            </w:r>
            <w:r w:rsidR="001E1FA4" w:rsidRPr="00AB423F">
              <w:rPr>
                <w:bCs/>
              </w:rPr>
              <w:t>grant</w:t>
            </w:r>
            <w:r w:rsidRPr="00AB423F">
              <w:rPr>
                <w:bCs/>
              </w:rPr>
              <w:t xml:space="preserve"> for the feasibility study of this investment (HBC.2022.0457), a </w:t>
            </w:r>
            <w:r w:rsidR="001E1FA4" w:rsidRPr="00AB423F">
              <w:rPr>
                <w:bCs/>
              </w:rPr>
              <w:t>grant</w:t>
            </w:r>
            <w:r w:rsidRPr="00AB423F">
              <w:rPr>
                <w:bCs/>
              </w:rPr>
              <w:t xml:space="preserve"> for the R&amp;D activities linked to this investment (HBC.2022.0289) and two files that were part of the IPCEI portfolio but were shifted to a notification under the CEEAG (IPCEI.2022.0002 &amp; IPCEI.2022.0010). For this investment, a DSNH assessment was carried out and added to the note from the Flemish government. This DNSH assessment was further refined during the course of the CEEAG notification. In the note from the Flemish government dated 1 March 2024 confirming the support for this investment and concretising the conditions of the CEEAG notification, the following passage was included with regard to DNSH: </w:t>
            </w:r>
          </w:p>
          <w:p w14:paraId="077F5B34" w14:textId="77777777" w:rsidR="00F22936" w:rsidRPr="00AB423F" w:rsidRDefault="00F22936" w:rsidP="00685CD4">
            <w:pPr>
              <w:jc w:val="both"/>
              <w:rPr>
                <w:rFonts w:ascii="Calibri" w:hAnsi="Calibri" w:cs="Calibri"/>
                <w:color w:val="000000"/>
              </w:rPr>
            </w:pPr>
          </w:p>
          <w:p w14:paraId="1EFDC568" w14:textId="4B3E2A17" w:rsidR="00F22936" w:rsidRPr="00843AE0" w:rsidRDefault="00F22936" w:rsidP="00F22936">
            <w:pPr>
              <w:pStyle w:val="Lijstalinea"/>
              <w:numPr>
                <w:ilvl w:val="0"/>
                <w:numId w:val="16"/>
              </w:numPr>
              <w:rPr>
                <w:rFonts w:ascii="FlandersArtSans-Light" w:hAnsi="FlandersArtSans-Light"/>
                <w:i/>
                <w:iCs/>
                <w:color w:val="000000" w:themeColor="text1"/>
              </w:rPr>
            </w:pPr>
            <w:r w:rsidRPr="00843AE0">
              <w:rPr>
                <w:rFonts w:ascii="FlandersArtSans-Light" w:hAnsi="FlandersArtSans-Light"/>
                <w:i/>
                <w:iCs/>
                <w:color w:val="000000" w:themeColor="text1"/>
                <w:lang w:val="es-ES"/>
              </w:rPr>
              <w:t>DNSH</w:t>
            </w:r>
          </w:p>
          <w:p w14:paraId="088AFB74" w14:textId="77777777" w:rsidR="00F22936" w:rsidRPr="00330164" w:rsidRDefault="00F22936" w:rsidP="005004D0">
            <w:pPr>
              <w:rPr>
                <w:rFonts w:ascii="FlandersArtSans-Light" w:hAnsi="FlandersArtSans-Light"/>
                <w:i/>
                <w:iCs/>
                <w:color w:val="000000" w:themeColor="text1"/>
                <w:lang w:val="nl-BE"/>
              </w:rPr>
            </w:pPr>
            <w:r w:rsidRPr="00843AE0">
              <w:rPr>
                <w:rFonts w:ascii="FlandersArtSans-Light" w:hAnsi="FlandersArtSans-Light"/>
                <w:i/>
                <w:iCs/>
                <w:color w:val="000000" w:themeColor="text1"/>
                <w:lang w:val="es-ES"/>
              </w:rPr>
              <w:t xml:space="preserve">Bij de beslissing tot steuntoekenning werd de overeenstemming met het DNSH-principe (Do No Specific Harm) vastgesteld op basis van gegevens opgenomen in deel 3 van bijlage 2 bij de bijgevoegde besluiten. De overeenstemming met het DNSH-principe maakt deel uit van RRF-regelgeving maar is ook een voorwaarde in de goedkeuring bij de notificatie op basis van het CEEAG-kader. </w:t>
            </w:r>
          </w:p>
          <w:p w14:paraId="56DD4E5B" w14:textId="77777777" w:rsidR="00F22936" w:rsidRPr="00330164" w:rsidRDefault="00F22936" w:rsidP="00F22936">
            <w:pPr>
              <w:ind w:left="720"/>
              <w:rPr>
                <w:rFonts w:ascii="FlandersArtSans-Light" w:hAnsi="FlandersArtSans-Light"/>
                <w:i/>
                <w:iCs/>
                <w:color w:val="000000" w:themeColor="text1"/>
                <w:lang w:val="nl-BE"/>
              </w:rPr>
            </w:pPr>
          </w:p>
          <w:p w14:paraId="0313E243" w14:textId="77777777" w:rsidR="00F22936" w:rsidRPr="00330164" w:rsidRDefault="00F22936" w:rsidP="005004D0">
            <w:pPr>
              <w:rPr>
                <w:rFonts w:ascii="FlandersArtSans-Light" w:hAnsi="FlandersArtSans-Light"/>
                <w:i/>
                <w:iCs/>
                <w:color w:val="000000" w:themeColor="text1"/>
                <w:lang w:val="nl-BE"/>
              </w:rPr>
            </w:pPr>
            <w:r w:rsidRPr="00843AE0">
              <w:rPr>
                <w:rFonts w:ascii="FlandersArtSans-Light" w:hAnsi="FlandersArtSans-Light"/>
                <w:i/>
                <w:iCs/>
                <w:color w:val="000000" w:themeColor="text1"/>
                <w:lang w:val="es-ES"/>
              </w:rPr>
              <w:t xml:space="preserve">De </w:t>
            </w:r>
            <w:proofErr w:type="spellStart"/>
            <w:r w:rsidRPr="00843AE0">
              <w:rPr>
                <w:rFonts w:ascii="FlandersArtSans-Light" w:hAnsi="FlandersArtSans-Light"/>
                <w:i/>
                <w:iCs/>
                <w:color w:val="000000" w:themeColor="text1"/>
                <w:lang w:val="es-ES"/>
              </w:rPr>
              <w:t>overeenstemming</w:t>
            </w:r>
            <w:proofErr w:type="spellEnd"/>
            <w:r w:rsidRPr="00843AE0">
              <w:rPr>
                <w:rFonts w:ascii="FlandersArtSans-Light" w:hAnsi="FlandersArtSans-Light"/>
                <w:i/>
                <w:iCs/>
                <w:color w:val="000000" w:themeColor="text1"/>
                <w:lang w:val="es-ES"/>
              </w:rPr>
              <w:t xml:space="preserve"> </w:t>
            </w:r>
            <w:proofErr w:type="spellStart"/>
            <w:r w:rsidRPr="00843AE0">
              <w:rPr>
                <w:rFonts w:ascii="FlandersArtSans-Light" w:hAnsi="FlandersArtSans-Light"/>
                <w:i/>
                <w:iCs/>
                <w:color w:val="000000" w:themeColor="text1"/>
                <w:lang w:val="es-ES"/>
              </w:rPr>
              <w:t>met</w:t>
            </w:r>
            <w:proofErr w:type="spellEnd"/>
            <w:r w:rsidRPr="00843AE0">
              <w:rPr>
                <w:rFonts w:ascii="FlandersArtSans-Light" w:hAnsi="FlandersArtSans-Light"/>
                <w:i/>
                <w:iCs/>
                <w:color w:val="000000" w:themeColor="text1"/>
                <w:lang w:val="es-ES"/>
              </w:rPr>
              <w:t xml:space="preserve"> </w:t>
            </w:r>
            <w:proofErr w:type="spellStart"/>
            <w:r w:rsidRPr="00843AE0">
              <w:rPr>
                <w:rFonts w:ascii="FlandersArtSans-Light" w:hAnsi="FlandersArtSans-Light"/>
                <w:i/>
                <w:iCs/>
                <w:color w:val="000000" w:themeColor="text1"/>
                <w:lang w:val="es-ES"/>
              </w:rPr>
              <w:t>het</w:t>
            </w:r>
            <w:proofErr w:type="spellEnd"/>
            <w:r w:rsidRPr="00843AE0">
              <w:rPr>
                <w:rFonts w:ascii="FlandersArtSans-Light" w:hAnsi="FlandersArtSans-Light"/>
                <w:i/>
                <w:iCs/>
                <w:color w:val="000000" w:themeColor="text1"/>
                <w:lang w:val="es-ES"/>
              </w:rPr>
              <w:t xml:space="preserve"> DNSH-</w:t>
            </w:r>
            <w:proofErr w:type="spellStart"/>
            <w:r w:rsidRPr="00843AE0">
              <w:rPr>
                <w:rFonts w:ascii="FlandersArtSans-Light" w:hAnsi="FlandersArtSans-Light"/>
                <w:i/>
                <w:iCs/>
                <w:color w:val="000000" w:themeColor="text1"/>
                <w:lang w:val="es-ES"/>
              </w:rPr>
              <w:t>principe</w:t>
            </w:r>
            <w:proofErr w:type="spellEnd"/>
            <w:r w:rsidRPr="00843AE0">
              <w:rPr>
                <w:rFonts w:ascii="FlandersArtSans-Light" w:hAnsi="FlandersArtSans-Light"/>
                <w:i/>
                <w:iCs/>
                <w:color w:val="000000" w:themeColor="text1"/>
                <w:lang w:val="es-ES"/>
              </w:rPr>
              <w:t xml:space="preserve"> was reeds gemeld in de beslissingen van de Vlaamse regering, waarbij eveneens de overeenstemming met de CEAAG-mededeling (waar het DNSH-principe deel van uitmaakt) reeds opgenomen was in beide besluiten. De huidige aanpassing betreft (1) een verduidelijking van de overeenstemming met het DNSH-principe als een voorwaarde in het besluit en (2) het opnemen van een meldingsplicht (ook vermeld in de goedkeuring bij notificatie). </w:t>
            </w:r>
          </w:p>
          <w:p w14:paraId="2CDBD8B7" w14:textId="77777777" w:rsidR="00F22936" w:rsidRPr="00330164" w:rsidRDefault="00F22936" w:rsidP="00F22936">
            <w:pPr>
              <w:ind w:left="720"/>
              <w:rPr>
                <w:rFonts w:ascii="FlandersArtSans-Light" w:hAnsi="FlandersArtSans-Light"/>
                <w:i/>
                <w:iCs/>
                <w:color w:val="000000" w:themeColor="text1"/>
                <w:lang w:val="nl-BE"/>
              </w:rPr>
            </w:pPr>
          </w:p>
          <w:p w14:paraId="0915BD0D" w14:textId="77777777" w:rsidR="00F22936" w:rsidRPr="00330164" w:rsidRDefault="00F22936" w:rsidP="005004D0">
            <w:pPr>
              <w:rPr>
                <w:rFonts w:ascii="FlandersArtSans-Light" w:hAnsi="FlandersArtSans-Light"/>
                <w:i/>
                <w:iCs/>
                <w:color w:val="000000" w:themeColor="text1"/>
                <w:lang w:val="nl-BE"/>
              </w:rPr>
            </w:pPr>
            <w:proofErr w:type="spellStart"/>
            <w:r w:rsidRPr="00843AE0">
              <w:rPr>
                <w:rFonts w:ascii="FlandersArtSans-Light" w:hAnsi="FlandersArtSans-Light"/>
                <w:i/>
                <w:iCs/>
                <w:color w:val="000000" w:themeColor="text1"/>
                <w:lang w:val="es-ES"/>
              </w:rPr>
              <w:t>Bij</w:t>
            </w:r>
            <w:proofErr w:type="spellEnd"/>
            <w:r w:rsidRPr="00843AE0">
              <w:rPr>
                <w:rFonts w:ascii="FlandersArtSans-Light" w:hAnsi="FlandersArtSans-Light"/>
                <w:i/>
                <w:iCs/>
                <w:color w:val="000000" w:themeColor="text1"/>
                <w:lang w:val="es-ES"/>
              </w:rPr>
              <w:t xml:space="preserve"> </w:t>
            </w:r>
            <w:proofErr w:type="spellStart"/>
            <w:r w:rsidRPr="00843AE0">
              <w:rPr>
                <w:rFonts w:ascii="FlandersArtSans-Light" w:hAnsi="FlandersArtSans-Light"/>
                <w:i/>
                <w:iCs/>
                <w:color w:val="000000" w:themeColor="text1"/>
                <w:lang w:val="es-ES"/>
              </w:rPr>
              <w:t>afwijking</w:t>
            </w:r>
            <w:proofErr w:type="spellEnd"/>
            <w:r w:rsidRPr="00843AE0">
              <w:rPr>
                <w:rFonts w:ascii="FlandersArtSans-Light" w:hAnsi="FlandersArtSans-Light"/>
                <w:i/>
                <w:iCs/>
                <w:color w:val="000000" w:themeColor="text1"/>
                <w:lang w:val="es-ES"/>
              </w:rPr>
              <w:t xml:space="preserve"> van de vastgestelde normen is het bedrijf gebonden aan een meldingsplicht. Indien na analyse blijkt dat niet langer voldaan is aan de DNSH-principes gedurende de projectuitvoering en een periode van vijf jaar na de beëindiging van de in aanmerking komende kosten kan de steun teruggevorderd worden overeenkomstig de bepalingen van artikel 14 van het bijgevoegde besluit. </w:t>
            </w:r>
          </w:p>
          <w:p w14:paraId="4CEC441C" w14:textId="77777777" w:rsidR="00F22936" w:rsidRPr="00330164" w:rsidRDefault="00F22936" w:rsidP="00685CD4">
            <w:pPr>
              <w:jc w:val="both"/>
              <w:rPr>
                <w:rFonts w:ascii="Calibri" w:hAnsi="Calibri" w:cs="Calibri"/>
                <w:color w:val="000000"/>
                <w:lang w:val="nl-BE"/>
              </w:rPr>
            </w:pPr>
          </w:p>
          <w:p w14:paraId="453477D1" w14:textId="77777777" w:rsidR="006E3748" w:rsidRPr="00843AE0" w:rsidRDefault="006E3748" w:rsidP="006E3748">
            <w:pPr>
              <w:jc w:val="both"/>
              <w:rPr>
                <w:b/>
                <w:bCs/>
              </w:rPr>
            </w:pPr>
            <w:r w:rsidRPr="00843AE0">
              <w:rPr>
                <w:b/>
                <w:bCs/>
                <w:lang w:val="es-ES"/>
              </w:rPr>
              <w:t>2. As far as GHG emissions for activities subject to ETS are concerned, instructions to applicants requiring the applicants to:</w:t>
            </w:r>
          </w:p>
          <w:p w14:paraId="08E562F2" w14:textId="77777777" w:rsidR="006E3748" w:rsidRPr="00843AE0" w:rsidRDefault="006E3748" w:rsidP="006E3748">
            <w:pPr>
              <w:jc w:val="both"/>
              <w:rPr>
                <w:b/>
                <w:bCs/>
              </w:rPr>
            </w:pPr>
            <w:r w:rsidRPr="00843AE0">
              <w:rPr>
                <w:b/>
                <w:bCs/>
                <w:lang w:val="es-ES"/>
              </w:rPr>
              <w:t>i) provide and substantiate the projected level of GHG emissions per unit of product for awarded projects with activities under the EU ETS;</w:t>
            </w:r>
          </w:p>
          <w:p w14:paraId="6311A578" w14:textId="77777777" w:rsidR="006E3748" w:rsidRPr="00843AE0" w:rsidRDefault="006E3748" w:rsidP="006E3748">
            <w:pPr>
              <w:jc w:val="both"/>
              <w:rPr>
                <w:b/>
                <w:bCs/>
              </w:rPr>
            </w:pPr>
            <w:r w:rsidRPr="00843AE0">
              <w:rPr>
                <w:b/>
                <w:bCs/>
                <w:lang w:val="es-ES"/>
              </w:rPr>
              <w:t>ii) indicate the sector to which the activity concerned by the project belongs and to indicate which ETS benchmarks are applicable; and</w:t>
            </w:r>
          </w:p>
          <w:p w14:paraId="24B0BE07" w14:textId="3705D857" w:rsidR="005115B7" w:rsidRPr="00843AE0" w:rsidRDefault="006E3748" w:rsidP="006E3748">
            <w:pPr>
              <w:jc w:val="both"/>
            </w:pPr>
            <w:r w:rsidRPr="00843AE0">
              <w:rPr>
                <w:b/>
                <w:bCs/>
                <w:lang w:val="es-ES"/>
              </w:rPr>
              <w:t>iii) to detail the hypotheses taken in account to estimate demonstrate that the project will achieve GHG gas emissions that are significantly lower than the relevant benchmarks for free allocation, as set out in the Commission Implementing Regulation (EU) 2021/447.</w:t>
            </w:r>
          </w:p>
          <w:p w14:paraId="0A93F195" w14:textId="77777777" w:rsidR="005115B7" w:rsidRPr="00AB423F" w:rsidRDefault="005115B7" w:rsidP="00685CD4">
            <w:pPr>
              <w:jc w:val="both"/>
            </w:pPr>
          </w:p>
          <w:p w14:paraId="50284B99" w14:textId="68B51CD9" w:rsidR="00892A67" w:rsidRPr="00AB423F" w:rsidRDefault="001F7410" w:rsidP="00892A67">
            <w:pPr>
              <w:jc w:val="both"/>
            </w:pPr>
            <w:r w:rsidRPr="00843AE0">
              <w:rPr>
                <w:lang w:val="es-ES"/>
              </w:rPr>
              <w:t>The i</w:t>
            </w:r>
            <w:r w:rsidR="00D849BA" w:rsidRPr="00843AE0">
              <w:rPr>
                <w:lang w:val="es-ES"/>
              </w:rPr>
              <w:t xml:space="preserve">nstructions to </w:t>
            </w:r>
            <w:r w:rsidRPr="00843AE0">
              <w:rPr>
                <w:lang w:val="es-ES"/>
              </w:rPr>
              <w:t xml:space="preserve">the </w:t>
            </w:r>
            <w:r w:rsidR="00D849BA" w:rsidRPr="00843AE0">
              <w:rPr>
                <w:lang w:val="es-ES"/>
              </w:rPr>
              <w:t>applicants requiring the</w:t>
            </w:r>
            <w:r w:rsidR="00611702" w:rsidRPr="00843AE0">
              <w:rPr>
                <w:lang w:val="es-ES"/>
              </w:rPr>
              <w:t>m</w:t>
            </w:r>
            <w:r w:rsidR="00D849BA" w:rsidRPr="00843AE0">
              <w:rPr>
                <w:lang w:val="es-ES"/>
              </w:rPr>
              <w:t xml:space="preserve"> to provide </w:t>
            </w:r>
            <w:r w:rsidR="00C34033" w:rsidRPr="00843AE0">
              <w:rPr>
                <w:lang w:val="es-ES"/>
              </w:rPr>
              <w:t xml:space="preserve">the above-mentioned </w:t>
            </w:r>
            <w:r w:rsidR="00D849BA" w:rsidRPr="00843AE0">
              <w:rPr>
                <w:lang w:val="es-ES"/>
              </w:rPr>
              <w:t xml:space="preserve">information regarding activities subject to ETS </w:t>
            </w:r>
            <w:r w:rsidRPr="00843AE0">
              <w:rPr>
                <w:lang w:val="es-ES"/>
              </w:rPr>
              <w:t>were included in</w:t>
            </w:r>
            <w:r w:rsidR="00D849BA" w:rsidRPr="00843AE0">
              <w:rPr>
                <w:lang w:val="es-ES"/>
              </w:rPr>
              <w:t xml:space="preserve"> </w:t>
            </w:r>
            <w:r w:rsidR="00611702" w:rsidRPr="00843AE0">
              <w:rPr>
                <w:lang w:val="es-ES"/>
              </w:rPr>
              <w:t xml:space="preserve">the template for the self-assessment that can be found in </w:t>
            </w:r>
            <w:r w:rsidR="00611702" w:rsidRPr="00843AE0">
              <w:rPr>
                <w:u w:val="single"/>
                <w:lang w:val="es-ES"/>
              </w:rPr>
              <w:t>“Annex 1. Internal guidance - Werkwijze DNSH - I-1.6</w:t>
            </w:r>
            <w:r w:rsidR="00611702" w:rsidRPr="00843AE0">
              <w:rPr>
                <w:lang w:val="es-ES"/>
              </w:rPr>
              <w:t>”.</w:t>
            </w:r>
          </w:p>
          <w:p w14:paraId="528815AB" w14:textId="76B49E2A" w:rsidR="00685CD4" w:rsidRPr="00AB423F" w:rsidRDefault="00685CD4" w:rsidP="00892A67">
            <w:pPr>
              <w:jc w:val="both"/>
              <w:rPr>
                <w:bCs/>
              </w:rPr>
            </w:pPr>
          </w:p>
          <w:p w14:paraId="797DABA4" w14:textId="77777777" w:rsidR="007F4AE8" w:rsidRPr="00AB423F" w:rsidRDefault="007F4AE8" w:rsidP="007F4AE8">
            <w:pPr>
              <w:jc w:val="both"/>
              <w:rPr>
                <w:b/>
              </w:rPr>
            </w:pPr>
            <w:r w:rsidRPr="00AB423F">
              <w:rPr>
                <w:b/>
              </w:rPr>
              <w:t>3. Copy of contract(s) award notification.</w:t>
            </w:r>
          </w:p>
          <w:p w14:paraId="1B93C3ED" w14:textId="77777777" w:rsidR="006E3748" w:rsidRPr="00AB423F" w:rsidRDefault="006E3748" w:rsidP="00685CD4">
            <w:pPr>
              <w:jc w:val="both"/>
              <w:rPr>
                <w:bCs/>
              </w:rPr>
            </w:pPr>
          </w:p>
          <w:p w14:paraId="29CB4C9A" w14:textId="77777777" w:rsidR="00B43DA7" w:rsidRPr="00AB423F" w:rsidRDefault="00685CD4" w:rsidP="00685CD4">
            <w:pPr>
              <w:jc w:val="both"/>
              <w:rPr>
                <w:bCs/>
              </w:rPr>
            </w:pPr>
            <w:r w:rsidRPr="00AB423F">
              <w:rPr>
                <w:bCs/>
              </w:rPr>
              <w:t>Attachment “</w:t>
            </w:r>
            <w:r w:rsidR="00B77960" w:rsidRPr="00AB423F">
              <w:rPr>
                <w:bCs/>
                <w:u w:val="single"/>
              </w:rPr>
              <w:t>3. Award notifications - Projects milestone 22.zip</w:t>
            </w:r>
            <w:r w:rsidRPr="00AB423F">
              <w:rPr>
                <w:bCs/>
              </w:rPr>
              <w:t>” contains a copy of the contract award notifications for the projects in milestone 2</w:t>
            </w:r>
            <w:r w:rsidR="00B77960" w:rsidRPr="00AB423F">
              <w:rPr>
                <w:bCs/>
              </w:rPr>
              <w:t>2</w:t>
            </w:r>
            <w:r w:rsidRPr="00AB423F">
              <w:rPr>
                <w:bCs/>
              </w:rPr>
              <w:t>.  The</w:t>
            </w:r>
            <w:r w:rsidR="00CC037B" w:rsidRPr="00AB423F">
              <w:rPr>
                <w:bCs/>
              </w:rPr>
              <w:t>se</w:t>
            </w:r>
            <w:r w:rsidRPr="00AB423F">
              <w:rPr>
                <w:bCs/>
              </w:rPr>
              <w:t xml:space="preserve"> contract award notifications were sent to the applicants on 10</w:t>
            </w:r>
            <w:r w:rsidRPr="00AB423F">
              <w:rPr>
                <w:bCs/>
                <w:vertAlign w:val="superscript"/>
              </w:rPr>
              <w:t>th</w:t>
            </w:r>
            <w:r w:rsidRPr="00AB423F">
              <w:rPr>
                <w:bCs/>
              </w:rPr>
              <w:t xml:space="preserve"> of January 2023. The DNSH conditions to be met by projects in measure I-1.16 An industrial Value chain for Hydrogen are attached to this communication.</w:t>
            </w:r>
            <w:r w:rsidR="003E34CC" w:rsidRPr="00AB423F">
              <w:rPr>
                <w:bCs/>
              </w:rPr>
              <w:t xml:space="preserve"> </w:t>
            </w:r>
          </w:p>
          <w:p w14:paraId="66CD84F3" w14:textId="77777777" w:rsidR="00B43DA7" w:rsidRPr="00AB423F" w:rsidRDefault="00B43DA7" w:rsidP="00685CD4">
            <w:pPr>
              <w:jc w:val="both"/>
              <w:rPr>
                <w:bCs/>
              </w:rPr>
            </w:pPr>
          </w:p>
          <w:p w14:paraId="6C5D53CD" w14:textId="77777777" w:rsidR="00921DCA" w:rsidRPr="00AB423F" w:rsidRDefault="00921DCA" w:rsidP="00685CD4">
            <w:pPr>
              <w:jc w:val="both"/>
              <w:rPr>
                <w:bCs/>
              </w:rPr>
            </w:pPr>
          </w:p>
          <w:p w14:paraId="66C5C4AC" w14:textId="5A8FCCB2" w:rsidR="00CC037B" w:rsidRPr="00AB423F" w:rsidRDefault="00F80573" w:rsidP="00685CD4">
            <w:pPr>
              <w:jc w:val="both"/>
              <w:rPr>
                <w:bCs/>
              </w:rPr>
            </w:pPr>
            <w:r w:rsidRPr="00AB423F">
              <w:rPr>
                <w:bCs/>
              </w:rPr>
              <w:t xml:space="preserve">There is no separate award notification for the </w:t>
            </w:r>
            <w:r w:rsidR="00002017" w:rsidRPr="00AB423F">
              <w:rPr>
                <w:bCs/>
              </w:rPr>
              <w:t>feasibility</w:t>
            </w:r>
            <w:r w:rsidRPr="00AB423F">
              <w:rPr>
                <w:bCs/>
              </w:rPr>
              <w:t xml:space="preserve"> study for </w:t>
            </w:r>
            <w:r w:rsidR="000E52FA" w:rsidRPr="00AB423F">
              <w:rPr>
                <w:bCs/>
              </w:rPr>
              <w:t>a DRI-installation at Arcelor Mittal Ghent</w:t>
            </w:r>
            <w:r w:rsidRPr="00AB423F">
              <w:rPr>
                <w:bCs/>
              </w:rPr>
              <w:t xml:space="preserve"> (HBC.2022.0457) a</w:t>
            </w:r>
            <w:r w:rsidR="00736586" w:rsidRPr="00AB423F">
              <w:rPr>
                <w:bCs/>
              </w:rPr>
              <w:t>s this project is part of a larger investment</w:t>
            </w:r>
            <w:r w:rsidRPr="00AB423F">
              <w:rPr>
                <w:bCs/>
              </w:rPr>
              <w:t xml:space="preserve"> (</w:t>
            </w:r>
            <w:r w:rsidR="00821035" w:rsidRPr="00AB423F">
              <w:t>DRI</w:t>
            </w:r>
            <w:r w:rsidR="00275FC1" w:rsidRPr="00AB423F">
              <w:t>)</w:t>
            </w:r>
            <w:r w:rsidR="0085078E" w:rsidRPr="00AB423F">
              <w:rPr>
                <w:bCs/>
              </w:rPr>
              <w:t xml:space="preserve">. </w:t>
            </w:r>
            <w:r w:rsidR="00821035" w:rsidRPr="00AB423F">
              <w:rPr>
                <w:bCs/>
              </w:rPr>
              <w:t xml:space="preserve">A DNSH assessment was carried out (Annex </w:t>
            </w:r>
            <w:r w:rsidR="00821035" w:rsidRPr="00AB423F">
              <w:rPr>
                <w:bCs/>
                <w:u w:val="single"/>
              </w:rPr>
              <w:t>6. IPCEI.2022.0002 ArcelorMittal Belgium DNSH.docx)</w:t>
            </w:r>
            <w:r w:rsidR="00FE3A60" w:rsidRPr="00AB423F">
              <w:rPr>
                <w:bCs/>
              </w:rPr>
              <w:t xml:space="preserve"> for the whole of the investment.</w:t>
            </w:r>
          </w:p>
          <w:p w14:paraId="6195AD27" w14:textId="77777777" w:rsidR="000867DA" w:rsidRPr="00AB423F" w:rsidRDefault="000867DA" w:rsidP="00685CD4">
            <w:pPr>
              <w:jc w:val="both"/>
              <w:rPr>
                <w:bCs/>
              </w:rPr>
            </w:pPr>
          </w:p>
          <w:p w14:paraId="56712239" w14:textId="37ECD6CE" w:rsidR="00685CD4" w:rsidRPr="00AB423F" w:rsidRDefault="007F4AE8" w:rsidP="00685CD4">
            <w:pPr>
              <w:jc w:val="both"/>
              <w:rPr>
                <w:b/>
              </w:rPr>
            </w:pPr>
            <w:r w:rsidRPr="00AB423F">
              <w:rPr>
                <w:b/>
              </w:rPr>
              <w:t>4. Spreadsheet with a list of selected projects with beneficiaries, brief description of project, location, justifications that requirement of the CID are fulfilled.</w:t>
            </w:r>
          </w:p>
          <w:p w14:paraId="3D426F3D" w14:textId="77777777" w:rsidR="007F4AE8" w:rsidRPr="00AB423F" w:rsidRDefault="007F4AE8" w:rsidP="00685CD4">
            <w:pPr>
              <w:jc w:val="both"/>
              <w:rPr>
                <w:bCs/>
              </w:rPr>
            </w:pPr>
          </w:p>
          <w:p w14:paraId="20218285" w14:textId="30FDA50B" w:rsidR="00685CD4" w:rsidRPr="00AB423F" w:rsidRDefault="00685CD4" w:rsidP="00685CD4">
            <w:pPr>
              <w:jc w:val="both"/>
              <w:rPr>
                <w:bCs/>
              </w:rPr>
            </w:pPr>
            <w:r w:rsidRPr="00AB423F">
              <w:rPr>
                <w:bCs/>
              </w:rPr>
              <w:t>Annex “</w:t>
            </w:r>
            <w:r w:rsidRPr="00AB423F">
              <w:rPr>
                <w:bCs/>
                <w:u w:val="single"/>
              </w:rPr>
              <w:t>4. Spreadsheet selected projects milestone 2</w:t>
            </w:r>
            <w:r w:rsidR="00A643A9" w:rsidRPr="00AB423F">
              <w:rPr>
                <w:bCs/>
                <w:u w:val="single"/>
              </w:rPr>
              <w:t>2</w:t>
            </w:r>
            <w:r w:rsidRPr="00AB423F">
              <w:rPr>
                <w:bCs/>
                <w:u w:val="single"/>
              </w:rPr>
              <w:t>.xlsx”</w:t>
            </w:r>
            <w:r w:rsidRPr="00AB423F">
              <w:rPr>
                <w:bCs/>
              </w:rPr>
              <w:t xml:space="preserve"> is a list of the selected projects under milestone 2</w:t>
            </w:r>
            <w:r w:rsidR="00A643A9" w:rsidRPr="00AB423F">
              <w:rPr>
                <w:bCs/>
              </w:rPr>
              <w:t>2</w:t>
            </w:r>
            <w:r w:rsidRPr="00AB423F">
              <w:rPr>
                <w:bCs/>
              </w:rPr>
              <w:t xml:space="preserve"> containing a brief description of the projects, the budget allocated for each project, the beneficiary and address of the beneficiary.</w:t>
            </w:r>
          </w:p>
          <w:p w14:paraId="1773061F" w14:textId="00CB0B86" w:rsidR="00685CD4" w:rsidRPr="00AB423F" w:rsidRDefault="00685CD4" w:rsidP="00685CD4">
            <w:pPr>
              <w:jc w:val="both"/>
              <w:rPr>
                <w:bCs/>
              </w:rPr>
            </w:pPr>
          </w:p>
          <w:p w14:paraId="1395CF05" w14:textId="77777777" w:rsidR="0033652E" w:rsidRPr="00843AE0" w:rsidRDefault="0033652E" w:rsidP="0033652E">
            <w:pPr>
              <w:jc w:val="both"/>
              <w:rPr>
                <w:b/>
              </w:rPr>
            </w:pPr>
            <w:r w:rsidRPr="00843AE0">
              <w:rPr>
                <w:b/>
                <w:lang w:val="es-ES"/>
              </w:rPr>
              <w:t>5. The copy of the DNSH assessment for each project including supporting evidence on which the decision has been taken upon.</w:t>
            </w:r>
          </w:p>
          <w:p w14:paraId="64DE2783" w14:textId="77777777" w:rsidR="007F4AE8" w:rsidRPr="00AB423F" w:rsidRDefault="007F4AE8" w:rsidP="00685CD4">
            <w:pPr>
              <w:jc w:val="both"/>
              <w:rPr>
                <w:bCs/>
              </w:rPr>
            </w:pPr>
          </w:p>
          <w:p w14:paraId="4ACDA0F1" w14:textId="77777777" w:rsidR="004946FB" w:rsidRPr="00AB423F" w:rsidRDefault="00685CD4" w:rsidP="00685CD4">
            <w:pPr>
              <w:jc w:val="both"/>
              <w:rPr>
                <w:bCs/>
              </w:rPr>
            </w:pPr>
            <w:r w:rsidRPr="00AB423F">
              <w:rPr>
                <w:bCs/>
              </w:rPr>
              <w:t>The copy of the DNSH assessment for each project including supporting evidence on which the decision has been taken upon can be found in annex “</w:t>
            </w:r>
            <w:r w:rsidRPr="00AB423F">
              <w:rPr>
                <w:bCs/>
                <w:u w:val="single"/>
              </w:rPr>
              <w:t>5. DNSH-assessments milestone 2</w:t>
            </w:r>
            <w:r w:rsidR="00A643A9" w:rsidRPr="00AB423F">
              <w:rPr>
                <w:bCs/>
                <w:u w:val="single"/>
              </w:rPr>
              <w:t>2</w:t>
            </w:r>
            <w:r w:rsidRPr="00AB423F">
              <w:rPr>
                <w:bCs/>
                <w:u w:val="single"/>
              </w:rPr>
              <w:t>.zip</w:t>
            </w:r>
            <w:r w:rsidRPr="00AB423F">
              <w:rPr>
                <w:bCs/>
              </w:rPr>
              <w:t xml:space="preserve">“. These are the final versions of the companies' self-assessments, validated by VLAIO, which in some cases required several iterations to obtain the necessary information before an assessment could be made. These assessments were added to the file for the Inspection of Finance and the decisions of the Flemish Government. </w:t>
            </w:r>
          </w:p>
          <w:p w14:paraId="29E0377C" w14:textId="77777777" w:rsidR="004946FB" w:rsidRPr="00AB423F" w:rsidRDefault="004946FB" w:rsidP="00685CD4">
            <w:pPr>
              <w:jc w:val="both"/>
              <w:rPr>
                <w:bCs/>
              </w:rPr>
            </w:pPr>
          </w:p>
          <w:p w14:paraId="4098F438" w14:textId="65B89247" w:rsidR="00685CD4" w:rsidRPr="00AB423F" w:rsidRDefault="00685CD4" w:rsidP="00685CD4">
            <w:pPr>
              <w:jc w:val="both"/>
              <w:rPr>
                <w:bCs/>
              </w:rPr>
            </w:pPr>
            <w:r w:rsidRPr="00AB423F">
              <w:rPr>
                <w:bCs/>
              </w:rPr>
              <w:t xml:space="preserve">In addition, DNSH assessments for projects </w:t>
            </w:r>
            <w:r w:rsidR="00E65A85" w:rsidRPr="00AB423F">
              <w:rPr>
                <w:bCs/>
              </w:rPr>
              <w:t>IPCEI.2021.0005 Hyoffwind</w:t>
            </w:r>
            <w:r w:rsidR="009B78C6" w:rsidRPr="00AB423F">
              <w:rPr>
                <w:bCs/>
              </w:rPr>
              <w:t xml:space="preserve"> and</w:t>
            </w:r>
            <w:r w:rsidR="00E65A85" w:rsidRPr="00AB423F">
              <w:rPr>
                <w:bCs/>
              </w:rPr>
              <w:t xml:space="preserve"> </w:t>
            </w:r>
            <w:r w:rsidR="004F7DCD" w:rsidRPr="00AB423F">
              <w:rPr>
                <w:bCs/>
              </w:rPr>
              <w:t>IPCEI.2022.0002</w:t>
            </w:r>
            <w:r w:rsidR="009B78C6" w:rsidRPr="00AB423F">
              <w:rPr>
                <w:bCs/>
              </w:rPr>
              <w:t xml:space="preserve"> – IPCEI.2022.0010 </w:t>
            </w:r>
            <w:r w:rsidR="004F7DCD" w:rsidRPr="00AB423F">
              <w:rPr>
                <w:bCs/>
              </w:rPr>
              <w:t xml:space="preserve">Arcelor Mittal </w:t>
            </w:r>
            <w:r w:rsidR="00E03C91" w:rsidRPr="00AB423F">
              <w:rPr>
                <w:bCs/>
              </w:rPr>
              <w:t xml:space="preserve">and </w:t>
            </w:r>
            <w:r w:rsidRPr="00AB423F">
              <w:rPr>
                <w:bCs/>
              </w:rPr>
              <w:t>were also sent to DG COMP as part of I</w:t>
            </w:r>
            <w:r w:rsidR="00BA21FA" w:rsidRPr="00AB423F">
              <w:rPr>
                <w:bCs/>
              </w:rPr>
              <w:t>PCEI/CEAAG</w:t>
            </w:r>
            <w:r w:rsidRPr="00AB423F">
              <w:rPr>
                <w:bCs/>
              </w:rPr>
              <w:t xml:space="preserve"> state aid </w:t>
            </w:r>
            <w:r w:rsidR="00303863" w:rsidRPr="00AB423F">
              <w:rPr>
                <w:bCs/>
              </w:rPr>
              <w:t>pre</w:t>
            </w:r>
            <w:r w:rsidRPr="00AB423F">
              <w:rPr>
                <w:bCs/>
              </w:rPr>
              <w:t>notification</w:t>
            </w:r>
            <w:r w:rsidR="00303863" w:rsidRPr="00AB423F">
              <w:rPr>
                <w:bCs/>
              </w:rPr>
              <w:t>s</w:t>
            </w:r>
            <w:r w:rsidRPr="00AB423F">
              <w:rPr>
                <w:bCs/>
              </w:rPr>
              <w:t>.</w:t>
            </w:r>
            <w:r w:rsidR="004F7DCD" w:rsidRPr="00AB423F">
              <w:rPr>
                <w:bCs/>
              </w:rPr>
              <w:t xml:space="preserve"> </w:t>
            </w:r>
            <w:r w:rsidR="00F970FE" w:rsidRPr="00AB423F">
              <w:rPr>
                <w:bCs/>
              </w:rPr>
              <w:t xml:space="preserve">(see </w:t>
            </w:r>
            <w:r w:rsidR="00F970FE" w:rsidRPr="00AB423F">
              <w:rPr>
                <w:bCs/>
                <w:u w:val="single"/>
              </w:rPr>
              <w:t>Annex 5bis DNSH-assessment IPCEI Hydrogen Industry Hyoffwind (2022.09.09)</w:t>
            </w:r>
            <w:r w:rsidR="00186E36" w:rsidRPr="00AB423F">
              <w:rPr>
                <w:bCs/>
                <w:u w:val="single"/>
              </w:rPr>
              <w:t xml:space="preserve"> </w:t>
            </w:r>
            <w:r w:rsidR="006D0906" w:rsidRPr="00AB423F">
              <w:rPr>
                <w:bCs/>
              </w:rPr>
              <w:t xml:space="preserve">and </w:t>
            </w:r>
            <w:r w:rsidR="00186E36" w:rsidRPr="00AB423F">
              <w:rPr>
                <w:bCs/>
                <w:u w:val="single"/>
              </w:rPr>
              <w:t>Annex 6. IPCEI.2022.0002 ArcelorMittal Belgium DNSH.docx</w:t>
            </w:r>
            <w:r w:rsidR="00F970FE" w:rsidRPr="00AB423F">
              <w:rPr>
                <w:bCs/>
                <w:u w:val="single"/>
              </w:rPr>
              <w:t>)</w:t>
            </w:r>
            <w:r w:rsidR="00186E36" w:rsidRPr="00AB423F">
              <w:rPr>
                <w:bCs/>
                <w:u w:val="single"/>
              </w:rPr>
              <w:t xml:space="preserve"> </w:t>
            </w:r>
          </w:p>
          <w:p w14:paraId="222191C8" w14:textId="69C34F75" w:rsidR="00685CD4" w:rsidRPr="00AB423F" w:rsidRDefault="00685CD4" w:rsidP="00685CD4">
            <w:pPr>
              <w:jc w:val="both"/>
              <w:rPr>
                <w:bCs/>
              </w:rPr>
            </w:pPr>
          </w:p>
          <w:p w14:paraId="71204ADA" w14:textId="77777777" w:rsidR="0033652E" w:rsidRPr="00843AE0" w:rsidRDefault="0033652E" w:rsidP="0033652E">
            <w:pPr>
              <w:jc w:val="both"/>
              <w:rPr>
                <w:b/>
              </w:rPr>
            </w:pPr>
            <w:r w:rsidRPr="00843AE0">
              <w:rPr>
                <w:b/>
                <w:lang w:val="es-ES"/>
              </w:rPr>
              <w:t>6. For awarded projects with activities under the EU ETS:</w:t>
            </w:r>
          </w:p>
          <w:p w14:paraId="7EE47E42" w14:textId="77777777" w:rsidR="0033652E" w:rsidRPr="00843AE0" w:rsidRDefault="0033652E" w:rsidP="0033652E">
            <w:pPr>
              <w:jc w:val="both"/>
              <w:rPr>
                <w:b/>
              </w:rPr>
            </w:pPr>
            <w:r w:rsidRPr="00843AE0">
              <w:rPr>
                <w:b/>
                <w:lang w:val="es-ES"/>
              </w:rPr>
              <w:t>a) Extract from the application demonstrating that the projected level of GHG emissions per unit of product will be significantly lower compared to the relevant benchmarks under the followed hypothesis;</w:t>
            </w:r>
          </w:p>
          <w:p w14:paraId="1ECCADED" w14:textId="77777777" w:rsidR="0033652E" w:rsidRPr="00843AE0" w:rsidRDefault="0033652E" w:rsidP="0033652E">
            <w:pPr>
              <w:jc w:val="both"/>
              <w:rPr>
                <w:b/>
              </w:rPr>
            </w:pPr>
            <w:r w:rsidRPr="00843AE0">
              <w:rPr>
                <w:b/>
                <w:lang w:val="es-ES"/>
              </w:rPr>
              <w:t>b) Summary information on the type of intervention and/or the change of technology implemented.</w:t>
            </w:r>
          </w:p>
          <w:p w14:paraId="2D3931FE" w14:textId="77777777" w:rsidR="0033652E" w:rsidRPr="00843AE0" w:rsidRDefault="0033652E" w:rsidP="0033652E">
            <w:pPr>
              <w:jc w:val="both"/>
              <w:rPr>
                <w:b/>
              </w:rPr>
            </w:pPr>
            <w:r w:rsidRPr="00843AE0">
              <w:rPr>
                <w:b/>
                <w:lang w:val="es-ES"/>
              </w:rPr>
              <w:t>c) For EU ETS operators a unique identifier, the name, the location, the Installation ID/Aircraft Operator ID in the European Union Transaction Log (EUTL).</w:t>
            </w:r>
          </w:p>
          <w:p w14:paraId="04CC2EAC" w14:textId="282736EE" w:rsidR="0033652E" w:rsidRPr="00843AE0" w:rsidRDefault="0033652E" w:rsidP="00685CD4">
            <w:pPr>
              <w:jc w:val="both"/>
              <w:rPr>
                <w:bCs/>
              </w:rPr>
            </w:pPr>
          </w:p>
          <w:p w14:paraId="2CB5E7E4" w14:textId="04DFABF7" w:rsidR="0002331B" w:rsidRPr="00AB423F" w:rsidRDefault="004B17A1" w:rsidP="0002331B">
            <w:pPr>
              <w:jc w:val="both"/>
              <w:rPr>
                <w:bCs/>
              </w:rPr>
            </w:pPr>
            <w:r w:rsidRPr="00AB423F">
              <w:rPr>
                <w:bCs/>
              </w:rPr>
              <w:t xml:space="preserve">The investment at Arcelor Mittal Ghent </w:t>
            </w:r>
            <w:r w:rsidR="00D849BA" w:rsidRPr="00AB423F">
              <w:rPr>
                <w:bCs/>
              </w:rPr>
              <w:t>relates to activities subject to ETS</w:t>
            </w:r>
            <w:r w:rsidR="00020931" w:rsidRPr="00AB423F">
              <w:rPr>
                <w:bCs/>
              </w:rPr>
              <w:t xml:space="preserve"> (</w:t>
            </w:r>
            <w:r w:rsidR="0002331B" w:rsidRPr="00AB423F">
              <w:rPr>
                <w:bCs/>
              </w:rPr>
              <w:t>HBC.2022.0457,</w:t>
            </w:r>
          </w:p>
          <w:p w14:paraId="24DEEB4B" w14:textId="77777777" w:rsidR="00E444DD" w:rsidRPr="00AB423F" w:rsidRDefault="0002331B" w:rsidP="0002331B">
            <w:pPr>
              <w:jc w:val="both"/>
              <w:rPr>
                <w:bCs/>
              </w:rPr>
            </w:pPr>
            <w:r w:rsidRPr="00AB423F">
              <w:rPr>
                <w:bCs/>
              </w:rPr>
              <w:t>HBC.2022.0289,IPCEI.2022.0002,IPCEI.2022.0010)</w:t>
            </w:r>
            <w:r w:rsidR="00D849BA" w:rsidRPr="00AB423F">
              <w:rPr>
                <w:bCs/>
              </w:rPr>
              <w:t xml:space="preserve">. Annex </w:t>
            </w:r>
            <w:r w:rsidR="0092069A" w:rsidRPr="00AB423F">
              <w:rPr>
                <w:bCs/>
                <w:u w:val="single"/>
              </w:rPr>
              <w:t>6</w:t>
            </w:r>
            <w:r w:rsidR="00D849BA" w:rsidRPr="00AB423F">
              <w:rPr>
                <w:bCs/>
                <w:u w:val="single"/>
              </w:rPr>
              <w:t>. IPCEI.2022.0002 ArcelorMittal Belgium DNSH.docx</w:t>
            </w:r>
            <w:r w:rsidR="00D849BA" w:rsidRPr="00AB423F">
              <w:rPr>
                <w:bCs/>
              </w:rPr>
              <w:t xml:space="preserve"> is a copy of </w:t>
            </w:r>
            <w:r w:rsidR="001B4568" w:rsidRPr="00AB423F">
              <w:rPr>
                <w:bCs/>
              </w:rPr>
              <w:t xml:space="preserve">the </w:t>
            </w:r>
            <w:r w:rsidR="00D849BA" w:rsidRPr="00AB423F">
              <w:rPr>
                <w:bCs/>
              </w:rPr>
              <w:t xml:space="preserve">DNSH assessment for this project. The DNSH assessment for this project includes an annex with the requested information specific to ETS-related projects. </w:t>
            </w:r>
          </w:p>
          <w:p w14:paraId="3874D3D3" w14:textId="77777777" w:rsidR="003C1255" w:rsidRPr="00843AE0" w:rsidRDefault="00D005FB" w:rsidP="0002331B">
            <w:pPr>
              <w:jc w:val="both"/>
            </w:pPr>
            <w:r w:rsidRPr="00AB423F">
              <w:rPr>
                <w:bCs/>
              </w:rPr>
              <w:t xml:space="preserve">This assessment </w:t>
            </w:r>
            <w:r w:rsidR="00D35E64" w:rsidRPr="00AB423F">
              <w:rPr>
                <w:bCs/>
              </w:rPr>
              <w:t xml:space="preserve">was also sent to DG COMP as part of </w:t>
            </w:r>
            <w:r w:rsidR="00B50AEB" w:rsidRPr="00AB423F">
              <w:rPr>
                <w:bCs/>
              </w:rPr>
              <w:t xml:space="preserve">the </w:t>
            </w:r>
            <w:r w:rsidR="00D35E64" w:rsidRPr="00AB423F">
              <w:rPr>
                <w:bCs/>
              </w:rPr>
              <w:t>CEAAG state aid prenotification</w:t>
            </w:r>
            <w:r w:rsidR="00B50AEB" w:rsidRPr="00AB423F">
              <w:rPr>
                <w:bCs/>
              </w:rPr>
              <w:t xml:space="preserve"> of the file.</w:t>
            </w:r>
            <w:r w:rsidR="00D35E64" w:rsidRPr="00AB423F">
              <w:rPr>
                <w:bCs/>
              </w:rPr>
              <w:t xml:space="preserve"> </w:t>
            </w:r>
            <w:r w:rsidR="00E444DD" w:rsidRPr="00AB423F">
              <w:rPr>
                <w:bCs/>
              </w:rPr>
              <w:t xml:space="preserve">In the course of the </w:t>
            </w:r>
            <w:r w:rsidR="00D849BA" w:rsidRPr="00AB423F">
              <w:rPr>
                <w:bCs/>
              </w:rPr>
              <w:t xml:space="preserve">CEEAG </w:t>
            </w:r>
            <w:r w:rsidR="00E444DD" w:rsidRPr="00AB423F">
              <w:rPr>
                <w:bCs/>
              </w:rPr>
              <w:t>pre-</w:t>
            </w:r>
            <w:r w:rsidR="00D849BA" w:rsidRPr="00AB423F">
              <w:rPr>
                <w:bCs/>
              </w:rPr>
              <w:t>notification</w:t>
            </w:r>
            <w:r w:rsidR="00E444DD" w:rsidRPr="00AB423F">
              <w:rPr>
                <w:bCs/>
              </w:rPr>
              <w:t xml:space="preserve"> several requests for additional information were made regarding the DNSH-compliance of the investment</w:t>
            </w:r>
            <w:r w:rsidR="00D50C73" w:rsidRPr="00AB423F">
              <w:rPr>
                <w:bCs/>
              </w:rPr>
              <w:t xml:space="preserve"> and more particular on </w:t>
            </w:r>
            <w:r w:rsidR="00D849BA" w:rsidRPr="00AB423F">
              <w:rPr>
                <w:bCs/>
              </w:rPr>
              <w:t xml:space="preserve">whether </w:t>
            </w:r>
            <w:r w:rsidR="00670E21" w:rsidRPr="00AB423F">
              <w:rPr>
                <w:bCs/>
              </w:rPr>
              <w:t xml:space="preserve">or not </w:t>
            </w:r>
            <w:r w:rsidR="00D849BA" w:rsidRPr="00AB423F">
              <w:rPr>
                <w:bCs/>
              </w:rPr>
              <w:t xml:space="preserve">a separate </w:t>
            </w:r>
            <w:r w:rsidR="00D849BA" w:rsidRPr="00AB423F">
              <w:rPr>
                <w:bCs/>
              </w:rPr>
              <w:lastRenderedPageBreak/>
              <w:t xml:space="preserve">DNSH assessment should be made for </w:t>
            </w:r>
            <w:r w:rsidR="00670E21" w:rsidRPr="00AB423F">
              <w:rPr>
                <w:bCs/>
              </w:rPr>
              <w:t>Pha</w:t>
            </w:r>
            <w:r w:rsidR="001B4568" w:rsidRPr="00AB423F">
              <w:rPr>
                <w:bCs/>
              </w:rPr>
              <w:t>se A of the investment (IPCEI.2022.0002)</w:t>
            </w:r>
            <w:r w:rsidR="00D849BA" w:rsidRPr="00AB423F">
              <w:rPr>
                <w:bCs/>
              </w:rPr>
              <w:t xml:space="preserve">, or whether an integral assessment of the investment </w:t>
            </w:r>
            <w:r w:rsidR="00FC4BDD" w:rsidRPr="00AB423F">
              <w:rPr>
                <w:bCs/>
              </w:rPr>
              <w:t>wa</w:t>
            </w:r>
            <w:r w:rsidR="00D849BA" w:rsidRPr="00AB423F">
              <w:rPr>
                <w:bCs/>
              </w:rPr>
              <w:t xml:space="preserve">s adequate. </w:t>
            </w:r>
            <w:r w:rsidR="00B77568" w:rsidRPr="00AB423F">
              <w:rPr>
                <w:bCs/>
              </w:rPr>
              <w:t>In answer to the 5</w:t>
            </w:r>
            <w:r w:rsidR="00B77568" w:rsidRPr="00AB423F">
              <w:rPr>
                <w:bCs/>
                <w:vertAlign w:val="superscript"/>
              </w:rPr>
              <w:t>th</w:t>
            </w:r>
            <w:r w:rsidR="00B77568" w:rsidRPr="00AB423F">
              <w:rPr>
                <w:bCs/>
              </w:rPr>
              <w:t xml:space="preserve"> </w:t>
            </w:r>
            <w:r w:rsidR="00FC4BDD" w:rsidRPr="00AB423F">
              <w:rPr>
                <w:bCs/>
              </w:rPr>
              <w:t>R</w:t>
            </w:r>
            <w:r w:rsidR="00B77568" w:rsidRPr="00AB423F">
              <w:rPr>
                <w:bCs/>
              </w:rPr>
              <w:t>equest for Information (RFI 5)</w:t>
            </w:r>
            <w:r w:rsidR="00521618" w:rsidRPr="00AB423F">
              <w:rPr>
                <w:bCs/>
              </w:rPr>
              <w:t>, questions 1 and 2</w:t>
            </w:r>
            <w:r w:rsidR="00B50AEB" w:rsidRPr="00AB423F">
              <w:rPr>
                <w:bCs/>
              </w:rPr>
              <w:t>,</w:t>
            </w:r>
            <w:r w:rsidR="00521618" w:rsidRPr="00AB423F">
              <w:rPr>
                <w:bCs/>
              </w:rPr>
              <w:t xml:space="preserve"> additional information on this </w:t>
            </w:r>
            <w:r w:rsidR="009D1A93" w:rsidRPr="00AB423F">
              <w:rPr>
                <w:bCs/>
              </w:rPr>
              <w:t xml:space="preserve">was provided by the company. </w:t>
            </w:r>
            <w:r w:rsidR="00466DB2" w:rsidRPr="00AB423F">
              <w:rPr>
                <w:bCs/>
              </w:rPr>
              <w:t>This answer can be found in a</w:t>
            </w:r>
            <w:r w:rsidR="00562D5F" w:rsidRPr="00AB423F">
              <w:rPr>
                <w:bCs/>
              </w:rPr>
              <w:t xml:space="preserve">nnexes </w:t>
            </w:r>
            <w:r w:rsidR="00562D5F" w:rsidRPr="00AB423F">
              <w:rPr>
                <w:bCs/>
                <w:u w:val="single"/>
              </w:rPr>
              <w:t>6bis. ArcelorMittal Belgium DNSH - CEEAG - RFI 5 for SA.64641 BE15 RecHycle-DRP.docx</w:t>
            </w:r>
            <w:r w:rsidR="00830D4C" w:rsidRPr="00AB423F">
              <w:rPr>
                <w:bCs/>
                <w:u w:val="single"/>
              </w:rPr>
              <w:t xml:space="preserve"> </w:t>
            </w:r>
            <w:r w:rsidR="00830D4C" w:rsidRPr="00AB423F">
              <w:rPr>
                <w:bCs/>
              </w:rPr>
              <w:t xml:space="preserve">and </w:t>
            </w:r>
            <w:r w:rsidR="00830D4C" w:rsidRPr="00AB423F">
              <w:rPr>
                <w:bCs/>
                <w:u w:val="single"/>
              </w:rPr>
              <w:t>6ter. Annex calculation phase A - DNSH and substantial contribution calculation 20230323.xlsx</w:t>
            </w:r>
            <w:r w:rsidR="00466DB2" w:rsidRPr="00AB423F">
              <w:rPr>
                <w:bCs/>
              </w:rPr>
              <w:t xml:space="preserve">. </w:t>
            </w:r>
            <w:r w:rsidR="007264B8" w:rsidRPr="00AB423F">
              <w:rPr>
                <w:bCs/>
              </w:rPr>
              <w:t>In response to these answer</w:t>
            </w:r>
            <w:r w:rsidR="00B50AEB" w:rsidRPr="00AB423F">
              <w:rPr>
                <w:bCs/>
              </w:rPr>
              <w:t>s</w:t>
            </w:r>
            <w:r w:rsidR="007264B8" w:rsidRPr="00AB423F">
              <w:rPr>
                <w:bCs/>
              </w:rPr>
              <w:t xml:space="preserve"> DG COMP indicated that there were </w:t>
            </w:r>
            <w:r w:rsidR="007264B8" w:rsidRPr="00843AE0">
              <w:rPr>
                <w:lang w:val="es-ES"/>
              </w:rPr>
              <w:t xml:space="preserve">no follow-up questions about the explanations provided concerning DNSH. </w:t>
            </w:r>
          </w:p>
          <w:p w14:paraId="4EE3D1A3" w14:textId="77777777" w:rsidR="000D5804" w:rsidRPr="00843AE0" w:rsidRDefault="000D5804" w:rsidP="0002331B">
            <w:pPr>
              <w:jc w:val="both"/>
            </w:pPr>
          </w:p>
          <w:p w14:paraId="584D9CA2" w14:textId="59ACB1F0" w:rsidR="000D5804" w:rsidRPr="00AB423F" w:rsidRDefault="003C1255" w:rsidP="0002331B">
            <w:pPr>
              <w:jc w:val="both"/>
            </w:pPr>
            <w:r w:rsidRPr="00843AE0">
              <w:rPr>
                <w:lang w:val="es-ES"/>
              </w:rPr>
              <w:t xml:space="preserve">The </w:t>
            </w:r>
            <w:r w:rsidR="00C62729" w:rsidRPr="00843AE0">
              <w:rPr>
                <w:lang w:val="es-ES"/>
              </w:rPr>
              <w:t>decision</w:t>
            </w:r>
            <w:r w:rsidRPr="00843AE0">
              <w:rPr>
                <w:lang w:val="es-ES"/>
              </w:rPr>
              <w:t xml:space="preserve"> of DG</w:t>
            </w:r>
            <w:r w:rsidR="0033528F" w:rsidRPr="00843AE0">
              <w:rPr>
                <w:lang w:val="es-ES"/>
              </w:rPr>
              <w:t xml:space="preserve"> COMP on the </w:t>
            </w:r>
            <w:r w:rsidR="00C62729" w:rsidRPr="00843AE0">
              <w:rPr>
                <w:lang w:val="es-ES"/>
              </w:rPr>
              <w:t>state aid</w:t>
            </w:r>
            <w:r w:rsidR="0033528F" w:rsidRPr="00843AE0">
              <w:rPr>
                <w:lang w:val="es-ES"/>
              </w:rPr>
              <w:t xml:space="preserve"> </w:t>
            </w:r>
            <w:r w:rsidR="00C62729" w:rsidRPr="00843AE0">
              <w:rPr>
                <w:lang w:val="es-ES"/>
              </w:rPr>
              <w:t>for</w:t>
            </w:r>
            <w:r w:rsidR="0033528F" w:rsidRPr="00843AE0">
              <w:rPr>
                <w:lang w:val="es-ES"/>
              </w:rPr>
              <w:t xml:space="preserve"> the Arcelor Mittal investment</w:t>
            </w:r>
            <w:r w:rsidR="00C62729" w:rsidRPr="00AB423F">
              <w:t>,</w:t>
            </w:r>
            <w:r w:rsidR="00193769" w:rsidRPr="00AB423F">
              <w:t xml:space="preserve"> </w:t>
            </w:r>
            <w:r w:rsidR="002301B5" w:rsidRPr="00AB423F">
              <w:rPr>
                <w:u w:val="single"/>
              </w:rPr>
              <w:t xml:space="preserve">Annex </w:t>
            </w:r>
            <w:r w:rsidR="00193769" w:rsidRPr="00AB423F">
              <w:rPr>
                <w:u w:val="single"/>
              </w:rPr>
              <w:t>6quater. ArcelorMittal Belgium - state aid SA.104897.pdf</w:t>
            </w:r>
            <w:r w:rsidR="002301B5" w:rsidRPr="00AB423F">
              <w:t>,</w:t>
            </w:r>
            <w:r w:rsidR="00C62729" w:rsidRPr="00AB423F">
              <w:t xml:space="preserve"> </w:t>
            </w:r>
            <w:r w:rsidR="000D5804" w:rsidRPr="00AB423F">
              <w:t>contains an assessment of the D</w:t>
            </w:r>
            <w:r w:rsidR="00F73A83" w:rsidRPr="00AB423F">
              <w:t>NS</w:t>
            </w:r>
            <w:r w:rsidR="000D5804" w:rsidRPr="00AB423F">
              <w:t>H-compliance of the investment:</w:t>
            </w:r>
          </w:p>
          <w:p w14:paraId="4C1D123E" w14:textId="77777777" w:rsidR="00EF6F8A" w:rsidRPr="00AB423F" w:rsidRDefault="00EF6F8A" w:rsidP="00EF6F8A">
            <w:pPr>
              <w:pStyle w:val="Default"/>
            </w:pPr>
          </w:p>
          <w:p w14:paraId="1251A72C" w14:textId="59A9DE19" w:rsidR="00EF6F8A" w:rsidRPr="00AB423F" w:rsidRDefault="00D71855" w:rsidP="006010F2">
            <w:pPr>
              <w:pStyle w:val="Default"/>
              <w:rPr>
                <w:rFonts w:asciiTheme="minorHAnsi" w:hAnsiTheme="minorHAnsi" w:cstheme="minorHAnsi"/>
                <w:i/>
                <w:iCs/>
                <w:sz w:val="22"/>
                <w:szCs w:val="22"/>
              </w:rPr>
            </w:pPr>
            <w:r w:rsidRPr="00AB423F">
              <w:rPr>
                <w:rFonts w:asciiTheme="minorHAnsi" w:hAnsiTheme="minorHAnsi" w:cstheme="minorHAnsi"/>
                <w:i/>
                <w:iCs/>
                <w:sz w:val="22"/>
                <w:szCs w:val="22"/>
              </w:rPr>
              <w:t xml:space="preserve">(48) </w:t>
            </w:r>
            <w:r w:rsidR="00EF6F8A" w:rsidRPr="00AB423F">
              <w:rPr>
                <w:rFonts w:asciiTheme="minorHAnsi" w:hAnsiTheme="minorHAnsi" w:cstheme="minorHAnsi"/>
                <w:i/>
                <w:iCs/>
                <w:sz w:val="22"/>
                <w:szCs w:val="22"/>
              </w:rPr>
              <w:t xml:space="preserve">Furthermore, the Belgian authorities provided evidence with a view to demonstrate that the RecHycle project complies with the principle of ‘do no significant harm’ as referred to in Article 17 of Regulation (EU) 2020/852 (24), by reference in particular to the screening criteria developed in Commission Delegated Regulation (EU) 2021/2139 of 4 June 2021 supplementing Regulation (EU) 2020/852 of the European Parliament and of the Council for determining the conditions under which an economic activity qualifies as contributing substantially to climate change mitigation or climate change adaptation and for determining whether that economic activity causes no significant harm to any of the other environmental objectives (25). In particular, the Belgian authorities submitted that: </w:t>
            </w:r>
          </w:p>
          <w:p w14:paraId="0A4E44CF" w14:textId="77777777" w:rsidR="00B64069" w:rsidRPr="00AB423F" w:rsidRDefault="00EF6F8A" w:rsidP="006010F2">
            <w:pPr>
              <w:pStyle w:val="Default"/>
              <w:numPr>
                <w:ilvl w:val="0"/>
                <w:numId w:val="17"/>
              </w:numPr>
              <w:rPr>
                <w:rFonts w:asciiTheme="minorHAnsi" w:hAnsiTheme="minorHAnsi" w:cstheme="minorHAnsi"/>
                <w:i/>
                <w:iCs/>
                <w:sz w:val="22"/>
                <w:szCs w:val="22"/>
              </w:rPr>
            </w:pPr>
            <w:r w:rsidRPr="00AB423F">
              <w:rPr>
                <w:rFonts w:asciiTheme="minorHAnsi" w:hAnsiTheme="minorHAnsi" w:cstheme="minorHAnsi"/>
                <w:i/>
                <w:iCs/>
                <w:sz w:val="22"/>
                <w:szCs w:val="22"/>
              </w:rPr>
              <w:t xml:space="preserve">In relation to climate change mitigation, the RecHycle project aims at implementing a production process avoiding direct CO2 emissions and thus achieving CO2 emission levels below the thresholds set out in the Commission Delegated Regulation (EU) 2021/2139 on climate change mitigation for steel products as well as substantially below ETS benchmarks; </w:t>
            </w:r>
          </w:p>
          <w:p w14:paraId="440E2F39" w14:textId="77777777" w:rsidR="00B64069" w:rsidRPr="00AB423F" w:rsidRDefault="00EF6F8A" w:rsidP="006010F2">
            <w:pPr>
              <w:pStyle w:val="Default"/>
              <w:numPr>
                <w:ilvl w:val="0"/>
                <w:numId w:val="17"/>
              </w:numPr>
              <w:rPr>
                <w:rFonts w:asciiTheme="minorHAnsi" w:hAnsiTheme="minorHAnsi" w:cstheme="minorHAnsi"/>
                <w:i/>
                <w:iCs/>
                <w:sz w:val="22"/>
                <w:szCs w:val="22"/>
              </w:rPr>
            </w:pPr>
            <w:r w:rsidRPr="00AB423F">
              <w:rPr>
                <w:rFonts w:asciiTheme="minorHAnsi" w:hAnsiTheme="minorHAnsi" w:cstheme="minorHAnsi"/>
                <w:i/>
                <w:iCs/>
                <w:sz w:val="22"/>
                <w:szCs w:val="22"/>
              </w:rPr>
              <w:t xml:space="preserve"> In relation to climate change adaptation, the beneficiary has conducted a screening of the risks of acute and chronic climate-related hazards and established a moderate risk of water stress and drought heat for the Ghent site; </w:t>
            </w:r>
          </w:p>
          <w:p w14:paraId="7EBE2CC1" w14:textId="77777777" w:rsidR="00B64069" w:rsidRPr="00AB423F" w:rsidRDefault="00EF6F8A" w:rsidP="006010F2">
            <w:pPr>
              <w:pStyle w:val="Default"/>
              <w:numPr>
                <w:ilvl w:val="0"/>
                <w:numId w:val="17"/>
              </w:numPr>
              <w:rPr>
                <w:rFonts w:asciiTheme="minorHAnsi" w:hAnsiTheme="minorHAnsi" w:cstheme="minorHAnsi"/>
                <w:i/>
                <w:iCs/>
                <w:sz w:val="22"/>
                <w:szCs w:val="22"/>
              </w:rPr>
            </w:pPr>
            <w:r w:rsidRPr="00AB423F">
              <w:rPr>
                <w:rFonts w:asciiTheme="minorHAnsi" w:hAnsiTheme="minorHAnsi" w:cstheme="minorHAnsi"/>
                <w:i/>
                <w:iCs/>
                <w:sz w:val="22"/>
                <w:szCs w:val="22"/>
              </w:rPr>
              <w:t xml:space="preserve">In relation to the sustainable use and protection of water and marine resources, ArcelorMittal Belgium is currently conducting environmental impact assessment covering, inter alia, water; </w:t>
            </w:r>
          </w:p>
          <w:p w14:paraId="42FF1922" w14:textId="77777777" w:rsidR="00B64069" w:rsidRPr="00AB423F" w:rsidRDefault="00EF6F8A" w:rsidP="006010F2">
            <w:pPr>
              <w:pStyle w:val="Default"/>
              <w:numPr>
                <w:ilvl w:val="0"/>
                <w:numId w:val="17"/>
              </w:numPr>
              <w:rPr>
                <w:rFonts w:asciiTheme="minorHAnsi" w:hAnsiTheme="minorHAnsi" w:cstheme="minorHAnsi"/>
                <w:i/>
                <w:iCs/>
                <w:sz w:val="22"/>
                <w:szCs w:val="22"/>
              </w:rPr>
            </w:pPr>
            <w:r w:rsidRPr="00AB423F">
              <w:rPr>
                <w:rFonts w:asciiTheme="minorHAnsi" w:hAnsiTheme="minorHAnsi" w:cstheme="minorHAnsi"/>
                <w:i/>
                <w:iCs/>
                <w:sz w:val="22"/>
                <w:szCs w:val="22"/>
              </w:rPr>
              <w:t>As regards the circular economy objective, the RecHycle project is not expected to significantly increase the generation, incineration, or disposal of waste or lead to significant inefficiencies in the use of natural resources;</w:t>
            </w:r>
          </w:p>
          <w:p w14:paraId="03636E16" w14:textId="77777777" w:rsidR="00B64069" w:rsidRPr="00AB423F" w:rsidRDefault="00B64069" w:rsidP="006010F2">
            <w:pPr>
              <w:pStyle w:val="Default"/>
              <w:numPr>
                <w:ilvl w:val="0"/>
                <w:numId w:val="17"/>
              </w:numPr>
              <w:rPr>
                <w:rFonts w:asciiTheme="minorHAnsi" w:hAnsiTheme="minorHAnsi" w:cstheme="minorHAnsi"/>
                <w:i/>
                <w:iCs/>
                <w:sz w:val="22"/>
                <w:szCs w:val="22"/>
              </w:rPr>
            </w:pPr>
            <w:r w:rsidRPr="00AB423F">
              <w:rPr>
                <w:rFonts w:asciiTheme="minorHAnsi" w:hAnsiTheme="minorHAnsi" w:cstheme="minorHAnsi"/>
                <w:i/>
                <w:iCs/>
                <w:sz w:val="22"/>
                <w:szCs w:val="22"/>
              </w:rPr>
              <w:t>In relation to air, water and land pollution, the Belgian authorities confirmed that the project does not involve any of the substances listed in Appendix C to the Commission Delegated Regulation (EU) 2021/2139 on climate change mitigation;</w:t>
            </w:r>
          </w:p>
          <w:p w14:paraId="24734B52" w14:textId="7D5F75FC" w:rsidR="00B64069" w:rsidRPr="00AB423F" w:rsidRDefault="00B64069" w:rsidP="006010F2">
            <w:pPr>
              <w:pStyle w:val="Default"/>
              <w:numPr>
                <w:ilvl w:val="0"/>
                <w:numId w:val="17"/>
              </w:numPr>
              <w:rPr>
                <w:rFonts w:asciiTheme="minorHAnsi" w:hAnsiTheme="minorHAnsi" w:cstheme="minorHAnsi"/>
                <w:i/>
                <w:iCs/>
                <w:sz w:val="22"/>
                <w:szCs w:val="22"/>
              </w:rPr>
            </w:pPr>
            <w:r w:rsidRPr="00AB423F">
              <w:rPr>
                <w:rFonts w:asciiTheme="minorHAnsi" w:hAnsiTheme="minorHAnsi" w:cstheme="minorHAnsi"/>
                <w:i/>
                <w:iCs/>
                <w:sz w:val="22"/>
                <w:szCs w:val="22"/>
              </w:rPr>
              <w:t>In relation to the impact on the protection and restoration of biodiversity and ecosystems, it is unlikely that the RecHycle project will have a significant negative impact on the protection and restoration of biodiversity and ecosystems, given that the project will not be located in a protected area, and will be subject to an environmental impact assessment.</w:t>
            </w:r>
          </w:p>
          <w:p w14:paraId="5FA751B9" w14:textId="77777777" w:rsidR="006010F2" w:rsidRPr="00843AE0" w:rsidRDefault="006010F2" w:rsidP="00685CD4">
            <w:pPr>
              <w:jc w:val="both"/>
              <w:rPr>
                <w:b/>
                <w:bCs/>
              </w:rPr>
            </w:pPr>
          </w:p>
          <w:p w14:paraId="7D51F07C" w14:textId="1D72FED7" w:rsidR="0033652E" w:rsidRPr="00843AE0" w:rsidRDefault="003D13EA" w:rsidP="00685CD4">
            <w:pPr>
              <w:jc w:val="both"/>
              <w:rPr>
                <w:b/>
                <w:bCs/>
              </w:rPr>
            </w:pPr>
            <w:r w:rsidRPr="00843AE0">
              <w:rPr>
                <w:b/>
                <w:bCs/>
                <w:lang w:val="es-ES"/>
              </w:rPr>
              <w:t>7. For projects involving the use of electricity, abstract from contractual clauses requiring the electricity to be used for the production of hydrogen to be of green origin or based on green PPAs.</w:t>
            </w:r>
          </w:p>
          <w:p w14:paraId="7004B7AB" w14:textId="77777777" w:rsidR="003D13EA" w:rsidRPr="00AB423F" w:rsidRDefault="003D13EA" w:rsidP="00685CD4">
            <w:pPr>
              <w:jc w:val="both"/>
              <w:rPr>
                <w:bCs/>
              </w:rPr>
            </w:pPr>
          </w:p>
          <w:p w14:paraId="27494399" w14:textId="513325E5" w:rsidR="003D13EA" w:rsidRPr="00AB423F" w:rsidRDefault="00D25CE3" w:rsidP="00685CD4">
            <w:pPr>
              <w:jc w:val="both"/>
              <w:rPr>
                <w:bCs/>
              </w:rPr>
            </w:pPr>
            <w:r w:rsidRPr="00AB423F">
              <w:rPr>
                <w:bCs/>
              </w:rPr>
              <w:t>Three projects i</w:t>
            </w:r>
            <w:r w:rsidR="007E4274" w:rsidRPr="00AB423F">
              <w:rPr>
                <w:bCs/>
              </w:rPr>
              <w:t>n</w:t>
            </w:r>
            <w:r w:rsidRPr="00AB423F">
              <w:rPr>
                <w:bCs/>
              </w:rPr>
              <w:t xml:space="preserve"> milestone 22 portfolio relate to hydrogen production by electrolysis (IPCEI.2021.0005, IPCEI.2022.0004, IPCEI.2022.0005). It concerns 2 small electrolysers and 1 medium-sized electrolyser (25MW). </w:t>
            </w:r>
            <w:r w:rsidR="00685CD4" w:rsidRPr="00AB423F">
              <w:rPr>
                <w:bCs/>
              </w:rPr>
              <w:t xml:space="preserve"> </w:t>
            </w:r>
            <w:r w:rsidR="008F21DE" w:rsidRPr="00AB423F">
              <w:rPr>
                <w:bCs/>
              </w:rPr>
              <w:t xml:space="preserve">All of the </w:t>
            </w:r>
            <w:r w:rsidR="00685CD4" w:rsidRPr="00AB423F">
              <w:rPr>
                <w:bCs/>
              </w:rPr>
              <w:t>applicant</w:t>
            </w:r>
            <w:r w:rsidRPr="00AB423F">
              <w:rPr>
                <w:bCs/>
              </w:rPr>
              <w:t>s</w:t>
            </w:r>
            <w:r w:rsidR="00685CD4" w:rsidRPr="00AB423F">
              <w:rPr>
                <w:bCs/>
              </w:rPr>
              <w:t xml:space="preserve"> ha</w:t>
            </w:r>
            <w:r w:rsidRPr="00AB423F">
              <w:rPr>
                <w:bCs/>
              </w:rPr>
              <w:t>ve</w:t>
            </w:r>
            <w:r w:rsidR="00685CD4" w:rsidRPr="00AB423F">
              <w:rPr>
                <w:bCs/>
              </w:rPr>
              <w:t xml:space="preserve"> indicated in the</w:t>
            </w:r>
            <w:r w:rsidR="008F21DE" w:rsidRPr="00AB423F">
              <w:rPr>
                <w:bCs/>
              </w:rPr>
              <w:t>ir</w:t>
            </w:r>
            <w:r w:rsidR="00685CD4" w:rsidRPr="00AB423F">
              <w:rPr>
                <w:bCs/>
              </w:rPr>
              <w:t xml:space="preserve"> DNSH assessment that the electricity for electrolysis will come from locally produced green power</w:t>
            </w:r>
            <w:r w:rsidR="004318D4" w:rsidRPr="00AB423F">
              <w:rPr>
                <w:bCs/>
              </w:rPr>
              <w:t>,</w:t>
            </w:r>
            <w:r w:rsidR="00685CD4" w:rsidRPr="00AB423F">
              <w:rPr>
                <w:bCs/>
              </w:rPr>
              <w:t xml:space="preserve"> from power purchased through PPA</w:t>
            </w:r>
            <w:r w:rsidR="004318D4" w:rsidRPr="00AB423F">
              <w:rPr>
                <w:bCs/>
              </w:rPr>
              <w:t>’s or a combination of both</w:t>
            </w:r>
            <w:r w:rsidR="00685CD4" w:rsidRPr="00AB423F">
              <w:rPr>
                <w:bCs/>
              </w:rPr>
              <w:t>. In the Flemish government's decision, the aid was granted subject to compliance with DNSH obligations. The decision letter</w:t>
            </w:r>
            <w:r w:rsidR="008F21DE" w:rsidRPr="00AB423F">
              <w:rPr>
                <w:bCs/>
              </w:rPr>
              <w:t>s</w:t>
            </w:r>
            <w:r w:rsidR="00685CD4" w:rsidRPr="00AB423F">
              <w:rPr>
                <w:bCs/>
              </w:rPr>
              <w:t xml:space="preserve"> (see </w:t>
            </w:r>
            <w:proofErr w:type="spellStart"/>
            <w:r w:rsidR="008F21DE" w:rsidRPr="00843AE0">
              <w:rPr>
                <w:lang w:val="es-ES"/>
              </w:rPr>
              <w:t>Annex</w:t>
            </w:r>
            <w:proofErr w:type="spellEnd"/>
            <w:r w:rsidR="008F21DE" w:rsidRPr="00843AE0">
              <w:rPr>
                <w:lang w:val="es-ES"/>
              </w:rPr>
              <w:t xml:space="preserve"> </w:t>
            </w:r>
            <w:r w:rsidR="008F21DE" w:rsidRPr="00AB423F">
              <w:rPr>
                <w:bCs/>
                <w:u w:val="single"/>
              </w:rPr>
              <w:t xml:space="preserve">3. Award </w:t>
            </w:r>
            <w:r w:rsidR="008F21DE" w:rsidRPr="00AB423F">
              <w:rPr>
                <w:bCs/>
                <w:u w:val="single"/>
              </w:rPr>
              <w:lastRenderedPageBreak/>
              <w:t>notifications - Projects milestone 22.zip</w:t>
            </w:r>
            <w:r w:rsidR="00685CD4" w:rsidRPr="00AB423F">
              <w:rPr>
                <w:bCs/>
              </w:rPr>
              <w:t xml:space="preserve">) restate this condition and also impose the obligation to provide supporting documents for this. </w:t>
            </w:r>
          </w:p>
          <w:p w14:paraId="493DD69E" w14:textId="0006FDF5" w:rsidR="00685CD4" w:rsidRPr="00AB423F" w:rsidRDefault="00685CD4" w:rsidP="00685CD4">
            <w:pPr>
              <w:jc w:val="both"/>
              <w:rPr>
                <w:bCs/>
              </w:rPr>
            </w:pPr>
            <w:r w:rsidRPr="00AB423F">
              <w:rPr>
                <w:bCs/>
              </w:rPr>
              <w:t xml:space="preserve"> </w:t>
            </w:r>
          </w:p>
          <w:p w14:paraId="5305BE0A" w14:textId="77777777" w:rsidR="00220B01" w:rsidRPr="00AB423F" w:rsidRDefault="00220B01" w:rsidP="00220B01">
            <w:pPr>
              <w:jc w:val="both"/>
              <w:rPr>
                <w:b/>
              </w:rPr>
            </w:pPr>
            <w:r w:rsidRPr="00AB423F">
              <w:rPr>
                <w:b/>
              </w:rPr>
              <w:t>8. For R&amp;I projects:</w:t>
            </w:r>
          </w:p>
          <w:p w14:paraId="1E58683E" w14:textId="77777777" w:rsidR="00220B01" w:rsidRPr="00AB423F" w:rsidRDefault="00220B01" w:rsidP="00220B01">
            <w:pPr>
              <w:jc w:val="both"/>
              <w:rPr>
                <w:b/>
              </w:rPr>
            </w:pPr>
            <w:r w:rsidRPr="00AB423F">
              <w:rPr>
                <w:b/>
              </w:rPr>
              <w:t xml:space="preserve">- evidences (i.e. abstract from the project description, description of the state of the art, description of the energy supply for hydrogen, GHG emissions output) demonstrating the R&amp;I focus of the project on low impact technologies or zero emission </w:t>
            </w:r>
          </w:p>
          <w:p w14:paraId="40A3C77F" w14:textId="77777777" w:rsidR="00220B01" w:rsidRPr="00AB423F" w:rsidRDefault="00220B01" w:rsidP="00220B01">
            <w:pPr>
              <w:jc w:val="both"/>
              <w:rPr>
                <w:b/>
              </w:rPr>
            </w:pPr>
            <w:r w:rsidRPr="00AB423F">
              <w:rPr>
                <w:b/>
              </w:rPr>
              <w:t>OR</w:t>
            </w:r>
          </w:p>
          <w:p w14:paraId="66293D15" w14:textId="77777777" w:rsidR="00220B01" w:rsidRPr="00AB423F" w:rsidRDefault="00220B01" w:rsidP="00220B01">
            <w:pPr>
              <w:jc w:val="both"/>
              <w:rPr>
                <w:b/>
              </w:rPr>
            </w:pPr>
            <w:r w:rsidRPr="00AB423F">
              <w:rPr>
                <w:b/>
              </w:rPr>
              <w:t>- a demonstration the projects have focused on improving technologies with the most limited impact including a comparison grid. A description of planned/adopted flanking measures to prevent lock-in effects and the contribution of measures taken for the uptake or development of low impact technologies.</w:t>
            </w:r>
          </w:p>
          <w:p w14:paraId="5B398F95" w14:textId="77777777" w:rsidR="007263E3" w:rsidRPr="00AB423F" w:rsidRDefault="00220B01" w:rsidP="00220B01">
            <w:pPr>
              <w:jc w:val="both"/>
              <w:rPr>
                <w:b/>
              </w:rPr>
            </w:pPr>
            <w:r w:rsidRPr="00AB423F">
              <w:rPr>
                <w:b/>
              </w:rPr>
              <w:t xml:space="preserve">OR </w:t>
            </w:r>
          </w:p>
          <w:p w14:paraId="4FF493A1" w14:textId="007FA65C" w:rsidR="00220B01" w:rsidRPr="00AB423F" w:rsidRDefault="007263E3" w:rsidP="00220B01">
            <w:pPr>
              <w:jc w:val="both"/>
              <w:rPr>
                <w:b/>
              </w:rPr>
            </w:pPr>
            <w:r w:rsidRPr="00AB423F">
              <w:rPr>
                <w:b/>
              </w:rPr>
              <w:t xml:space="preserve">- </w:t>
            </w:r>
            <w:r w:rsidR="00220B01" w:rsidRPr="00AB423F">
              <w:rPr>
                <w:b/>
              </w:rPr>
              <w:t>demonstration of how the selected technologies can be applied across different fields. It is expected for R&amp;I project to include a description of the state of the art for available technologies, a description of the current performance of the technology in terms of emissions and evidence on the expected improvement.</w:t>
            </w:r>
          </w:p>
          <w:p w14:paraId="0F43C815" w14:textId="77777777" w:rsidR="00220B01" w:rsidRPr="00AB423F" w:rsidRDefault="00220B01" w:rsidP="00220B01">
            <w:pPr>
              <w:jc w:val="both"/>
              <w:rPr>
                <w:b/>
              </w:rPr>
            </w:pPr>
          </w:p>
          <w:p w14:paraId="7A03AC2E" w14:textId="77777777" w:rsidR="00DD3865" w:rsidRPr="00AB423F" w:rsidRDefault="00685CD4" w:rsidP="00685CD4">
            <w:pPr>
              <w:jc w:val="both"/>
              <w:rPr>
                <w:bCs/>
              </w:rPr>
            </w:pPr>
            <w:r w:rsidRPr="00AB423F">
              <w:rPr>
                <w:bCs/>
              </w:rPr>
              <w:t>For R&amp;I projects the requested justification was included in the DNSH assessments (see annex “</w:t>
            </w:r>
            <w:r w:rsidRPr="00AB423F">
              <w:rPr>
                <w:bCs/>
                <w:u w:val="single"/>
              </w:rPr>
              <w:t>5. DNSH-assessments milestone 2</w:t>
            </w:r>
            <w:r w:rsidR="00320C0A" w:rsidRPr="00AB423F">
              <w:rPr>
                <w:bCs/>
                <w:u w:val="single"/>
              </w:rPr>
              <w:t>2</w:t>
            </w:r>
            <w:r w:rsidRPr="00AB423F">
              <w:rPr>
                <w:bCs/>
                <w:u w:val="single"/>
              </w:rPr>
              <w:t>.zip</w:t>
            </w:r>
            <w:r w:rsidRPr="00AB423F">
              <w:rPr>
                <w:bCs/>
              </w:rPr>
              <w:t>“).</w:t>
            </w:r>
            <w:r w:rsidR="008F167F" w:rsidRPr="00AB423F">
              <w:rPr>
                <w:bCs/>
              </w:rPr>
              <w:t xml:space="preserve"> </w:t>
            </w:r>
          </w:p>
          <w:p w14:paraId="39066673" w14:textId="77777777" w:rsidR="00DD3865" w:rsidRPr="00AB423F" w:rsidRDefault="00DD3865" w:rsidP="00685CD4">
            <w:pPr>
              <w:jc w:val="both"/>
              <w:rPr>
                <w:bCs/>
              </w:rPr>
            </w:pPr>
          </w:p>
          <w:p w14:paraId="35DCB9A4" w14:textId="6DB27065" w:rsidR="00374786" w:rsidRPr="00AB423F" w:rsidRDefault="008F167F" w:rsidP="00685CD4">
            <w:pPr>
              <w:jc w:val="both"/>
              <w:rPr>
                <w:bCs/>
              </w:rPr>
            </w:pPr>
            <w:r w:rsidRPr="00AB423F">
              <w:rPr>
                <w:bCs/>
              </w:rPr>
              <w:t xml:space="preserve">Two of the projects </w:t>
            </w:r>
            <w:r w:rsidR="00DD3865" w:rsidRPr="00AB423F">
              <w:rPr>
                <w:bCs/>
              </w:rPr>
              <w:t xml:space="preserve">are </w:t>
            </w:r>
            <w:r w:rsidR="00A84D3A" w:rsidRPr="00AB423F">
              <w:rPr>
                <w:bCs/>
              </w:rPr>
              <w:t>(</w:t>
            </w:r>
            <w:r w:rsidR="00DD3865" w:rsidRPr="00AB423F">
              <w:rPr>
                <w:bCs/>
              </w:rPr>
              <w:t>in pa</w:t>
            </w:r>
            <w:r w:rsidR="004D725D" w:rsidRPr="00AB423F">
              <w:rPr>
                <w:bCs/>
              </w:rPr>
              <w:t>rt</w:t>
            </w:r>
            <w:r w:rsidR="00A84D3A" w:rsidRPr="00AB423F">
              <w:rPr>
                <w:bCs/>
              </w:rPr>
              <w:t>)</w:t>
            </w:r>
            <w:r w:rsidR="00DD3865" w:rsidRPr="00AB423F">
              <w:rPr>
                <w:bCs/>
              </w:rPr>
              <w:t xml:space="preserve"> </w:t>
            </w:r>
            <w:r w:rsidR="004D725D" w:rsidRPr="00AB423F">
              <w:rPr>
                <w:bCs/>
              </w:rPr>
              <w:t>focusing on</w:t>
            </w:r>
            <w:r w:rsidR="00DD3865" w:rsidRPr="00AB423F">
              <w:rPr>
                <w:bCs/>
              </w:rPr>
              <w:t xml:space="preserve"> R&amp;</w:t>
            </w:r>
            <w:r w:rsidR="004D725D" w:rsidRPr="00AB423F">
              <w:rPr>
                <w:bCs/>
              </w:rPr>
              <w:t>I</w:t>
            </w:r>
            <w:r w:rsidR="00DD3865" w:rsidRPr="00AB423F">
              <w:rPr>
                <w:bCs/>
              </w:rPr>
              <w:t xml:space="preserve">: </w:t>
            </w:r>
            <w:r w:rsidR="007263E3" w:rsidRPr="00AB423F">
              <w:rPr>
                <w:bCs/>
              </w:rPr>
              <w:t xml:space="preserve"> </w:t>
            </w:r>
          </w:p>
          <w:p w14:paraId="48FFB47C" w14:textId="28929066" w:rsidR="00374786" w:rsidRPr="00AB423F" w:rsidRDefault="00A84D3A" w:rsidP="005A2355">
            <w:pPr>
              <w:pStyle w:val="Lijstalinea"/>
              <w:numPr>
                <w:ilvl w:val="0"/>
                <w:numId w:val="14"/>
              </w:numPr>
              <w:jc w:val="both"/>
              <w:rPr>
                <w:bCs/>
              </w:rPr>
            </w:pPr>
            <w:r w:rsidRPr="00AB423F">
              <w:rPr>
                <w:bCs/>
              </w:rPr>
              <w:t>HBC.2022.0289</w:t>
            </w:r>
            <w:r w:rsidR="00DD3865" w:rsidRPr="00AB423F">
              <w:rPr>
                <w:bCs/>
              </w:rPr>
              <w:t xml:space="preserve"> ArcelorMittal Belgium</w:t>
            </w:r>
            <w:r w:rsidR="004D725D" w:rsidRPr="00AB423F">
              <w:rPr>
                <w:bCs/>
              </w:rPr>
              <w:t>:</w:t>
            </w:r>
            <w:r w:rsidR="005A2355" w:rsidRPr="00AB423F">
              <w:rPr>
                <w:bCs/>
              </w:rPr>
              <w:t xml:space="preserve"> </w:t>
            </w:r>
            <w:r w:rsidR="004D725D" w:rsidRPr="00AB423F">
              <w:t>R&amp;I is dedicated to improving “best in class” technology</w:t>
            </w:r>
            <w:r w:rsidR="005A2355" w:rsidRPr="00AB423F">
              <w:rPr>
                <w:bCs/>
              </w:rPr>
              <w:t xml:space="preserve"> </w:t>
            </w:r>
            <w:r w:rsidR="00DD3865" w:rsidRPr="00AB423F">
              <w:rPr>
                <w:bCs/>
              </w:rPr>
              <w:t xml:space="preserve"> </w:t>
            </w:r>
            <w:r w:rsidR="005A2355" w:rsidRPr="00AB423F">
              <w:rPr>
                <w:bCs/>
              </w:rPr>
              <w:t xml:space="preserve">(see justification in </w:t>
            </w:r>
            <w:r w:rsidR="00DD3865" w:rsidRPr="00AB423F">
              <w:rPr>
                <w:bCs/>
              </w:rPr>
              <w:t xml:space="preserve">Annex </w:t>
            </w:r>
            <w:r w:rsidR="0079650F" w:rsidRPr="00AB423F">
              <w:rPr>
                <w:bCs/>
                <w:u w:val="single"/>
              </w:rPr>
              <w:t>6. ArcelorMittal Belgium DNSH.docx</w:t>
            </w:r>
            <w:r w:rsidR="005A2355" w:rsidRPr="00AB423F">
              <w:rPr>
                <w:bCs/>
                <w:u w:val="single"/>
              </w:rPr>
              <w:t>)</w:t>
            </w:r>
          </w:p>
          <w:p w14:paraId="19197A03" w14:textId="1F37F7AC" w:rsidR="004D725D" w:rsidRPr="00AB423F" w:rsidRDefault="000C3DAC" w:rsidP="005A2355">
            <w:pPr>
              <w:pStyle w:val="Lijstalinea"/>
              <w:numPr>
                <w:ilvl w:val="0"/>
                <w:numId w:val="14"/>
              </w:numPr>
              <w:jc w:val="both"/>
              <w:rPr>
                <w:bCs/>
              </w:rPr>
            </w:pPr>
            <w:r w:rsidRPr="00AB423F">
              <w:rPr>
                <w:bCs/>
              </w:rPr>
              <w:t xml:space="preserve">IPCEI.2022.0009 </w:t>
            </w:r>
            <w:proofErr w:type="spellStart"/>
            <w:r w:rsidR="003D5B2A" w:rsidRPr="00AB423F">
              <w:rPr>
                <w:bCs/>
              </w:rPr>
              <w:t>BelgHyCo</w:t>
            </w:r>
            <w:proofErr w:type="spellEnd"/>
            <w:r w:rsidR="003D5B2A" w:rsidRPr="00AB423F">
              <w:rPr>
                <w:bCs/>
              </w:rPr>
              <w:t xml:space="preserve">-HD (DATS): </w:t>
            </w:r>
            <w:r w:rsidR="00B924F3" w:rsidRPr="00AB423F">
              <w:rPr>
                <w:bCs/>
              </w:rPr>
              <w:t xml:space="preserve">R&amp;I focus on low impact technologies or zero emission ((see justification in Annex </w:t>
            </w:r>
            <w:r w:rsidR="00B924F3" w:rsidRPr="00AB423F">
              <w:rPr>
                <w:bCs/>
                <w:u w:val="single"/>
              </w:rPr>
              <w:t xml:space="preserve">5. DNSH-assessments milestone 22.zip - </w:t>
            </w:r>
            <w:r w:rsidR="0006733F" w:rsidRPr="00AB423F">
              <w:rPr>
                <w:bCs/>
              </w:rPr>
              <w:t>IPCEI.2022.0009 DNSH_richtsnoeren Hydrogen - BelgHyCo-HD.docx)</w:t>
            </w:r>
          </w:p>
          <w:p w14:paraId="30A34DF6" w14:textId="77777777" w:rsidR="009A0B77" w:rsidRPr="00AB423F" w:rsidRDefault="009A0B77" w:rsidP="00685CD4">
            <w:pPr>
              <w:jc w:val="both"/>
              <w:rPr>
                <w:bCs/>
              </w:rPr>
            </w:pPr>
          </w:p>
          <w:p w14:paraId="645F40AA" w14:textId="06453585" w:rsidR="00685CD4" w:rsidRPr="00AB423F" w:rsidRDefault="00685CD4" w:rsidP="00685CD4">
            <w:pPr>
              <w:jc w:val="both"/>
              <w:rPr>
                <w:bCs/>
              </w:rPr>
            </w:pPr>
            <w:r w:rsidRPr="00AB423F">
              <w:rPr>
                <w:bCs/>
              </w:rPr>
              <w:t xml:space="preserve">Project descriptions can be found in the documents from the Flemish government </w:t>
            </w:r>
            <w:r w:rsidR="00834139" w:rsidRPr="00AB423F">
              <w:rPr>
                <w:bCs/>
              </w:rPr>
              <w:t>(</w:t>
            </w:r>
            <w:r w:rsidR="00834139" w:rsidRPr="00843AE0">
              <w:rPr>
                <w:lang w:val="es-ES"/>
              </w:rPr>
              <w:t xml:space="preserve">Annex </w:t>
            </w:r>
            <w:r w:rsidR="00320C0A" w:rsidRPr="00843AE0">
              <w:rPr>
                <w:u w:val="single"/>
                <w:lang w:val="es-ES"/>
              </w:rPr>
              <w:t>1bis – Notes VR - Projects milestone 22.zip</w:t>
            </w:r>
            <w:r w:rsidR="00FC36A2" w:rsidRPr="00AB423F">
              <w:rPr>
                <w:bCs/>
                <w:u w:val="single"/>
              </w:rPr>
              <w:t>)</w:t>
            </w:r>
            <w:r w:rsidR="00F21E94" w:rsidRPr="00AB423F">
              <w:rPr>
                <w:bCs/>
                <w:u w:val="single"/>
              </w:rPr>
              <w:t xml:space="preserve"> </w:t>
            </w:r>
          </w:p>
          <w:p w14:paraId="306D1A97" w14:textId="77777777" w:rsidR="00685CD4" w:rsidRPr="00AB423F" w:rsidRDefault="00685CD4" w:rsidP="00757733"/>
        </w:tc>
      </w:tr>
    </w:tbl>
    <w:p w14:paraId="09AA35BA" w14:textId="77777777" w:rsidR="00280503" w:rsidRPr="00AB423F" w:rsidRDefault="00280503" w:rsidP="00757733">
      <w:pPr>
        <w:spacing w:after="0" w:line="240" w:lineRule="auto"/>
        <w:rPr>
          <w:b/>
          <w:bCs/>
          <w:u w:val="single"/>
          <w:lang w:val="en-GB"/>
        </w:rPr>
      </w:pPr>
    </w:p>
    <w:p w14:paraId="5E1748EE" w14:textId="777CCBFA" w:rsidR="00F26602" w:rsidRPr="00AB423F" w:rsidRDefault="007F14A7" w:rsidP="00757733">
      <w:pPr>
        <w:spacing w:after="0" w:line="240" w:lineRule="auto"/>
        <w:rPr>
          <w:b/>
          <w:bCs/>
          <w:u w:val="single"/>
          <w:lang w:val="en-GB"/>
        </w:rPr>
      </w:pPr>
      <w:r w:rsidRPr="00AB423F">
        <w:rPr>
          <w:b/>
          <w:bCs/>
          <w:u w:val="single"/>
          <w:lang w:val="en-GB"/>
        </w:rPr>
        <w:t>A</w:t>
      </w:r>
      <w:r w:rsidR="6DCBCDFE" w:rsidRPr="00AB423F">
        <w:rPr>
          <w:b/>
          <w:bCs/>
          <w:u w:val="single"/>
          <w:lang w:val="en-GB"/>
        </w:rPr>
        <w:t xml:space="preserve">chievement of the </w:t>
      </w:r>
      <w:r w:rsidRPr="00AB423F">
        <w:rPr>
          <w:b/>
          <w:bCs/>
          <w:u w:val="single"/>
          <w:lang w:val="en-GB"/>
        </w:rPr>
        <w:t xml:space="preserve">requirements in the description </w:t>
      </w:r>
      <w:r w:rsidR="6DCBCDFE" w:rsidRPr="00AB423F">
        <w:rPr>
          <w:b/>
          <w:bCs/>
          <w:u w:val="single"/>
          <w:lang w:val="en-GB"/>
        </w:rPr>
        <w:t>of the measure:</w:t>
      </w:r>
    </w:p>
    <w:p w14:paraId="3E55CD45" w14:textId="77777777" w:rsidR="00297677" w:rsidRPr="00AB423F" w:rsidRDefault="00297677" w:rsidP="00757733">
      <w:pPr>
        <w:spacing w:after="0" w:line="240" w:lineRule="auto"/>
        <w:rPr>
          <w:lang w:val="en-GB"/>
        </w:rPr>
      </w:pPr>
    </w:p>
    <w:p w14:paraId="7CB09EBD" w14:textId="700ECC94" w:rsidR="00056D29" w:rsidRPr="00AB423F" w:rsidRDefault="00F12379" w:rsidP="00FB438A">
      <w:pPr>
        <w:spacing w:after="0" w:line="240" w:lineRule="auto"/>
        <w:jc w:val="both"/>
        <w:rPr>
          <w:b/>
          <w:bCs/>
          <w:lang w:val="en-GB"/>
        </w:rPr>
      </w:pPr>
      <w:r w:rsidRPr="00AB423F">
        <w:rPr>
          <w:b/>
          <w:bCs/>
          <w:lang w:val="en-GB"/>
        </w:rPr>
        <w:t>D</w:t>
      </w:r>
      <w:r w:rsidR="00E942D7" w:rsidRPr="00AB423F">
        <w:rPr>
          <w:b/>
          <w:bCs/>
          <w:lang w:val="en-GB"/>
        </w:rPr>
        <w:t>escription of the measure in the CID Annex</w:t>
      </w:r>
    </w:p>
    <w:p w14:paraId="20078686" w14:textId="02CB3837" w:rsidR="00331E81" w:rsidRPr="00AB423F" w:rsidRDefault="00331E81" w:rsidP="00E942D7">
      <w:pPr>
        <w:spacing w:after="0" w:line="240" w:lineRule="auto"/>
        <w:rPr>
          <w:b/>
          <w:i/>
          <w:lang w:val="en-GB"/>
        </w:rPr>
      </w:pPr>
    </w:p>
    <w:p w14:paraId="66790928" w14:textId="77777777" w:rsidR="004E1052" w:rsidRPr="00AB423F" w:rsidRDefault="004E1052" w:rsidP="004E1052">
      <w:pPr>
        <w:pStyle w:val="Text1"/>
        <w:ind w:left="0"/>
        <w:rPr>
          <w:noProof/>
          <w:szCs w:val="24"/>
          <w:u w:val="single"/>
        </w:rPr>
      </w:pPr>
      <w:r w:rsidRPr="00AB423F">
        <w:rPr>
          <w:noProof/>
          <w:szCs w:val="24"/>
          <w:u w:val="single"/>
        </w:rPr>
        <w:t>Investment I-1.16 ‘An industrial value chain for hydrogen transition’ of the Flemish Region</w:t>
      </w:r>
    </w:p>
    <w:p w14:paraId="49383F91" w14:textId="7353F11E" w:rsidR="00F12379" w:rsidRPr="00AB423F" w:rsidRDefault="004E1052" w:rsidP="004E1052">
      <w:pPr>
        <w:spacing w:after="0" w:line="240" w:lineRule="auto"/>
        <w:rPr>
          <w:b/>
          <w:iCs/>
          <w:lang w:val="en-GB"/>
        </w:rPr>
      </w:pPr>
      <w:r w:rsidRPr="00843AE0">
        <w:rPr>
          <w:noProof/>
          <w:szCs w:val="24"/>
          <w:lang w:val="en-GB"/>
        </w:rPr>
        <w:t>This measure aims at supporting the transition to a sustainable hydrogen industry in Flanders through investment and project financing. In large part, the funding shall support a portfolio of projects which, like the planned wider cross-border Important Project of Common European interest (IPCEI) project, of which it shall form an integral part, aims at developing an industrial value chain towards hydrogen production, transport, storage and related applications. Outside the IPCEI portfolio, additional projects with a focus on hydrogen are also included, mostly both in the field of research and development and investment projects.</w:t>
      </w:r>
    </w:p>
    <w:p w14:paraId="417849F2" w14:textId="77777777" w:rsidR="00F12379" w:rsidRPr="00AB423F" w:rsidRDefault="00F12379" w:rsidP="00E942D7">
      <w:pPr>
        <w:spacing w:after="0" w:line="240" w:lineRule="auto"/>
        <w:rPr>
          <w:b/>
          <w:iCs/>
          <w:lang w:val="en-GB"/>
        </w:rPr>
      </w:pPr>
    </w:p>
    <w:p w14:paraId="18BA980C" w14:textId="187DA790" w:rsidR="00C6370D" w:rsidRPr="00843AE0" w:rsidRDefault="00C6370D" w:rsidP="00E942D7">
      <w:pPr>
        <w:spacing w:after="0" w:line="240" w:lineRule="auto"/>
        <w:rPr>
          <w:b/>
          <w:iCs/>
          <w:lang w:val="en-GB"/>
        </w:rPr>
      </w:pPr>
      <w:r w:rsidRPr="00AB423F">
        <w:rPr>
          <w:b/>
          <w:iCs/>
          <w:lang w:val="en-GB"/>
        </w:rPr>
        <w:t>Milestone 2</w:t>
      </w:r>
      <w:r w:rsidR="00280503" w:rsidRPr="00AB423F">
        <w:rPr>
          <w:b/>
          <w:iCs/>
          <w:lang w:val="en-GB"/>
        </w:rPr>
        <w:t>2</w:t>
      </w:r>
      <w:r w:rsidRPr="00AB423F">
        <w:rPr>
          <w:b/>
          <w:iCs/>
          <w:lang w:val="en-GB"/>
        </w:rPr>
        <w:t xml:space="preserve"> - </w:t>
      </w:r>
      <w:r w:rsidR="00A7746D" w:rsidRPr="00AB423F">
        <w:rPr>
          <w:b/>
          <w:iCs/>
          <w:lang w:val="en-GB"/>
        </w:rPr>
        <w:t>Award of contracts for non-IPCEI hydrogen projects</w:t>
      </w:r>
    </w:p>
    <w:p w14:paraId="426FC494" w14:textId="77777777" w:rsidR="004B0E70" w:rsidRPr="00AB423F" w:rsidRDefault="004B0E70" w:rsidP="00E942D7">
      <w:pPr>
        <w:spacing w:after="0" w:line="240" w:lineRule="auto"/>
        <w:rPr>
          <w:b/>
          <w:iCs/>
          <w:lang w:val="en-GB"/>
        </w:rPr>
      </w:pPr>
    </w:p>
    <w:p w14:paraId="5A177B02" w14:textId="0FC6386F" w:rsidR="00C6370D" w:rsidRPr="00AB423F" w:rsidRDefault="009305AC" w:rsidP="00E942D7">
      <w:pPr>
        <w:spacing w:after="0" w:line="240" w:lineRule="auto"/>
        <w:rPr>
          <w:b/>
          <w:iCs/>
          <w:lang w:val="en-GB"/>
        </w:rPr>
      </w:pPr>
      <w:r w:rsidRPr="00AB423F">
        <w:rPr>
          <w:b/>
          <w:iCs/>
          <w:lang w:val="en-GB"/>
        </w:rPr>
        <w:t xml:space="preserve">Qualitative indicator: </w:t>
      </w:r>
      <w:r w:rsidR="00F33491" w:rsidRPr="00AB423F">
        <w:rPr>
          <w:bCs/>
          <w:iCs/>
          <w:lang w:val="en-GB"/>
        </w:rPr>
        <w:t>Written notification of contract awards to successful candidates</w:t>
      </w:r>
    </w:p>
    <w:p w14:paraId="04CBE851" w14:textId="584FCCBE" w:rsidR="00331E81" w:rsidRPr="00AB423F" w:rsidRDefault="00331E81" w:rsidP="00E942D7">
      <w:pPr>
        <w:spacing w:after="0" w:line="240" w:lineRule="auto"/>
        <w:rPr>
          <w:b/>
          <w:iCs/>
          <w:lang w:val="en-GB"/>
        </w:rPr>
      </w:pPr>
    </w:p>
    <w:p w14:paraId="1085BD50" w14:textId="21202177" w:rsidR="00441D10" w:rsidRPr="00AB423F" w:rsidRDefault="00441D10" w:rsidP="00E942D7">
      <w:pPr>
        <w:spacing w:after="0" w:line="240" w:lineRule="auto"/>
        <w:rPr>
          <w:b/>
          <w:iCs/>
          <w:lang w:val="en-GB"/>
        </w:rPr>
      </w:pPr>
      <w:r w:rsidRPr="00AB423F">
        <w:rPr>
          <w:b/>
          <w:iCs/>
          <w:lang w:val="en-GB"/>
        </w:rPr>
        <w:t>Requirements:</w:t>
      </w:r>
    </w:p>
    <w:p w14:paraId="68B0A2B4" w14:textId="77777777" w:rsidR="00441D10" w:rsidRPr="00AB423F" w:rsidRDefault="00441D10" w:rsidP="00E942D7">
      <w:pPr>
        <w:spacing w:after="0" w:line="240" w:lineRule="auto"/>
        <w:rPr>
          <w:b/>
          <w:iCs/>
          <w:lang w:val="en-GB"/>
        </w:rPr>
      </w:pPr>
    </w:p>
    <w:p w14:paraId="5CB27EA6" w14:textId="2CB6A018" w:rsidR="00441D10" w:rsidRPr="00843AE0" w:rsidRDefault="00DE5A5D" w:rsidP="00E942D7">
      <w:pPr>
        <w:spacing w:after="0" w:line="240" w:lineRule="auto"/>
        <w:rPr>
          <w:rFonts w:eastAsia="Times New Roman" w:cstheme="minorHAnsi"/>
          <w:b/>
          <w:noProof/>
          <w:lang w:val="en-GB" w:eastAsia="en-GB"/>
        </w:rPr>
      </w:pPr>
      <w:r w:rsidRPr="00AB423F">
        <w:rPr>
          <w:rFonts w:cstheme="minorHAnsi"/>
          <w:b/>
          <w:iCs/>
          <w:lang w:val="en-GB"/>
        </w:rPr>
        <w:lastRenderedPageBreak/>
        <w:t>i)</w:t>
      </w:r>
      <w:r w:rsidRPr="00843AE0">
        <w:rPr>
          <w:rFonts w:eastAsia="Times New Roman" w:cstheme="minorHAnsi"/>
          <w:b/>
          <w:noProof/>
          <w:lang w:val="en-GB" w:eastAsia="en-GB"/>
        </w:rPr>
        <w:t xml:space="preserve"> Award of contracts to </w:t>
      </w:r>
      <w:r w:rsidR="007A5889" w:rsidRPr="00843AE0">
        <w:rPr>
          <w:rFonts w:eastAsia="Times New Roman" w:cstheme="minorHAnsi"/>
          <w:b/>
          <w:noProof/>
          <w:lang w:val="en-GB" w:eastAsia="en-GB"/>
        </w:rPr>
        <w:t>additional non-</w:t>
      </w:r>
      <w:r w:rsidRPr="00843AE0">
        <w:rPr>
          <w:rFonts w:eastAsia="Times New Roman" w:cstheme="minorHAnsi"/>
          <w:b/>
          <w:noProof/>
          <w:lang w:val="en-GB" w:eastAsia="en-GB"/>
        </w:rPr>
        <w:t xml:space="preserve">IPCEI </w:t>
      </w:r>
      <w:r w:rsidR="007A5889" w:rsidRPr="00843AE0">
        <w:rPr>
          <w:rFonts w:eastAsia="Times New Roman" w:cstheme="minorHAnsi"/>
          <w:b/>
          <w:noProof/>
          <w:lang w:val="en-GB" w:eastAsia="en-GB"/>
        </w:rPr>
        <w:t xml:space="preserve">hydrogen </w:t>
      </w:r>
      <w:r w:rsidRPr="00843AE0">
        <w:rPr>
          <w:rFonts w:eastAsia="Times New Roman" w:cstheme="minorHAnsi"/>
          <w:b/>
          <w:noProof/>
          <w:lang w:val="en-GB" w:eastAsia="en-GB"/>
        </w:rPr>
        <w:t>projects under the measure “An industrial value chain for hydrogen transition” (Flanders).</w:t>
      </w:r>
    </w:p>
    <w:p w14:paraId="664466C9" w14:textId="1EDC9EF3" w:rsidR="00DE5A5D" w:rsidRPr="00843AE0" w:rsidRDefault="00DE5A5D" w:rsidP="00E942D7">
      <w:pPr>
        <w:spacing w:after="0" w:line="240" w:lineRule="auto"/>
        <w:rPr>
          <w:rFonts w:eastAsia="Times New Roman" w:cstheme="minorHAnsi"/>
          <w:b/>
          <w:noProof/>
          <w:lang w:val="en-GB" w:eastAsia="en-GB"/>
        </w:rPr>
      </w:pPr>
    </w:p>
    <w:p w14:paraId="7DCC8022" w14:textId="324196A3" w:rsidR="00063C08" w:rsidRPr="00AB423F" w:rsidRDefault="00063C08" w:rsidP="00063C08">
      <w:pPr>
        <w:spacing w:after="0" w:line="240" w:lineRule="auto"/>
        <w:rPr>
          <w:bCs/>
          <w:iCs/>
          <w:lang w:val="en-GB"/>
        </w:rPr>
      </w:pPr>
      <w:r w:rsidRPr="00AB423F">
        <w:rPr>
          <w:bCs/>
          <w:iCs/>
          <w:lang w:val="en-GB"/>
        </w:rPr>
        <w:t xml:space="preserve">Written notifications have been sent out to the applicants for the IPCEI-projects in the beginning of 2023. </w:t>
      </w:r>
      <w:r w:rsidR="0003118B" w:rsidRPr="00AB423F">
        <w:rPr>
          <w:bCs/>
          <w:iCs/>
          <w:lang w:val="en-GB"/>
        </w:rPr>
        <w:t>At the request of the European Commission, two applications originally envisaged under the IPCEI notification were transferred to notification based on in the CEEAG frame. In addition, some proposals have been shifted to the general block exemption regulation with support granted under existing notified state aid frameworks, either on request of the Commission or on their own initiative.</w:t>
      </w:r>
      <w:r w:rsidRPr="00AB423F">
        <w:rPr>
          <w:bCs/>
          <w:iCs/>
          <w:lang w:val="en-GB"/>
        </w:rPr>
        <w:t xml:space="preserve"> This resulted in only 2 projects being notified and approved under the IPCEI state aid notification</w:t>
      </w:r>
      <w:r w:rsidR="00193254" w:rsidRPr="00AB423F">
        <w:rPr>
          <w:bCs/>
          <w:iCs/>
          <w:lang w:val="en-GB"/>
        </w:rPr>
        <w:t xml:space="preserve"> (milestone 21),</w:t>
      </w:r>
      <w:r w:rsidR="0006733F" w:rsidRPr="00AB423F">
        <w:rPr>
          <w:bCs/>
          <w:iCs/>
          <w:lang w:val="en-GB"/>
        </w:rPr>
        <w:t xml:space="preserve"> </w:t>
      </w:r>
      <w:r w:rsidR="006A5ADB" w:rsidRPr="00AB423F">
        <w:rPr>
          <w:bCs/>
          <w:iCs/>
          <w:lang w:val="en-GB"/>
        </w:rPr>
        <w:t>6</w:t>
      </w:r>
      <w:r w:rsidR="00983F10" w:rsidRPr="00AB423F">
        <w:rPr>
          <w:bCs/>
          <w:iCs/>
          <w:lang w:val="en-GB"/>
        </w:rPr>
        <w:t xml:space="preserve"> projects </w:t>
      </w:r>
      <w:r w:rsidR="006A5ADB" w:rsidRPr="00AB423F">
        <w:rPr>
          <w:bCs/>
          <w:iCs/>
          <w:lang w:val="en-GB"/>
        </w:rPr>
        <w:t xml:space="preserve">under existing frameworks under the GBER and 2 projects under CEEAG. </w:t>
      </w:r>
      <w:r w:rsidR="0080428E" w:rsidRPr="00AB423F">
        <w:rPr>
          <w:bCs/>
          <w:iCs/>
          <w:lang w:val="en-GB"/>
        </w:rPr>
        <w:t xml:space="preserve">One of the projects that was notified under CEEAG (Hyoffwind) was withdrawn due to </w:t>
      </w:r>
      <w:r w:rsidR="00817243" w:rsidRPr="00AB423F">
        <w:rPr>
          <w:bCs/>
          <w:iCs/>
          <w:lang w:val="en-GB"/>
        </w:rPr>
        <w:t xml:space="preserve">a legal issue </w:t>
      </w:r>
      <w:r w:rsidR="00746427" w:rsidRPr="00AB423F">
        <w:rPr>
          <w:bCs/>
          <w:iCs/>
          <w:lang w:val="en-GB"/>
        </w:rPr>
        <w:t xml:space="preserve">concerning </w:t>
      </w:r>
      <w:r w:rsidR="00817243" w:rsidRPr="00AB423F">
        <w:rPr>
          <w:bCs/>
          <w:iCs/>
          <w:lang w:val="en-GB"/>
        </w:rPr>
        <w:t>the stakeholders of the company</w:t>
      </w:r>
      <w:r w:rsidR="009A444D" w:rsidRPr="00AB423F">
        <w:rPr>
          <w:bCs/>
          <w:iCs/>
          <w:lang w:val="en-GB"/>
        </w:rPr>
        <w:t xml:space="preserve">. The </w:t>
      </w:r>
      <w:r w:rsidR="00746427" w:rsidRPr="00AB423F">
        <w:rPr>
          <w:bCs/>
          <w:iCs/>
          <w:lang w:val="en-GB"/>
        </w:rPr>
        <w:t xml:space="preserve">legal issue was </w:t>
      </w:r>
      <w:r w:rsidR="00D655BF" w:rsidRPr="00AB423F">
        <w:rPr>
          <w:bCs/>
          <w:iCs/>
          <w:lang w:val="en-GB"/>
        </w:rPr>
        <w:t>resolved,</w:t>
      </w:r>
      <w:r w:rsidR="00746427" w:rsidRPr="00AB423F">
        <w:rPr>
          <w:bCs/>
          <w:iCs/>
          <w:lang w:val="en-GB"/>
        </w:rPr>
        <w:t xml:space="preserve"> and the </w:t>
      </w:r>
      <w:r w:rsidR="009A444D" w:rsidRPr="00AB423F">
        <w:rPr>
          <w:bCs/>
          <w:iCs/>
          <w:lang w:val="en-GB"/>
        </w:rPr>
        <w:t>project was resubmitted</w:t>
      </w:r>
      <w:r w:rsidR="0091192A" w:rsidRPr="00AB423F">
        <w:rPr>
          <w:bCs/>
          <w:iCs/>
          <w:lang w:val="en-GB"/>
        </w:rPr>
        <w:t xml:space="preserve"> in </w:t>
      </w:r>
      <w:r w:rsidR="0099699C" w:rsidRPr="00AB423F">
        <w:rPr>
          <w:bCs/>
          <w:iCs/>
          <w:lang w:val="en-GB"/>
        </w:rPr>
        <w:t>September</w:t>
      </w:r>
      <w:r w:rsidR="000E1BDF" w:rsidRPr="00AB423F">
        <w:rPr>
          <w:bCs/>
          <w:iCs/>
          <w:lang w:val="en-GB"/>
        </w:rPr>
        <w:t xml:space="preserve"> 2023</w:t>
      </w:r>
      <w:r w:rsidR="00A5580A" w:rsidRPr="00AB423F">
        <w:rPr>
          <w:bCs/>
          <w:iCs/>
          <w:lang w:val="en-GB"/>
        </w:rPr>
        <w:t>. Aid was granted</w:t>
      </w:r>
      <w:r w:rsidR="00746427" w:rsidRPr="00AB423F">
        <w:rPr>
          <w:bCs/>
          <w:iCs/>
          <w:lang w:val="en-GB"/>
        </w:rPr>
        <w:t xml:space="preserve"> under the (renewed) the general block exemption regulation.</w:t>
      </w:r>
      <w:r w:rsidR="00A5580A" w:rsidRPr="00AB423F">
        <w:rPr>
          <w:bCs/>
          <w:iCs/>
          <w:lang w:val="en-GB"/>
        </w:rPr>
        <w:t xml:space="preserve"> </w:t>
      </w:r>
      <w:r w:rsidR="00C65BEB" w:rsidRPr="00AB423F">
        <w:rPr>
          <w:bCs/>
          <w:iCs/>
          <w:lang w:val="en-GB"/>
        </w:rPr>
        <w:t>On 22/06/2023 the s</w:t>
      </w:r>
      <w:r w:rsidR="00993EB9" w:rsidRPr="00AB423F">
        <w:rPr>
          <w:bCs/>
          <w:iCs/>
          <w:lang w:val="en-GB"/>
        </w:rPr>
        <w:t xml:space="preserve">tate aid for the </w:t>
      </w:r>
      <w:r w:rsidR="00A5580A" w:rsidRPr="00AB423F">
        <w:rPr>
          <w:bCs/>
          <w:iCs/>
          <w:lang w:val="en-GB"/>
        </w:rPr>
        <w:t>remaining project</w:t>
      </w:r>
      <w:r w:rsidR="00993EB9" w:rsidRPr="00AB423F">
        <w:rPr>
          <w:bCs/>
          <w:iCs/>
          <w:lang w:val="en-GB"/>
        </w:rPr>
        <w:t xml:space="preserve"> under the CEEAG</w:t>
      </w:r>
      <w:r w:rsidR="00A5580A" w:rsidRPr="00AB423F">
        <w:rPr>
          <w:bCs/>
          <w:iCs/>
          <w:lang w:val="en-GB"/>
        </w:rPr>
        <w:t xml:space="preserve"> (Arcelor Mittal Belgium)</w:t>
      </w:r>
      <w:r w:rsidR="00925352" w:rsidRPr="00AB423F">
        <w:rPr>
          <w:bCs/>
          <w:iCs/>
          <w:lang w:val="en-GB"/>
        </w:rPr>
        <w:t xml:space="preserve"> </w:t>
      </w:r>
      <w:r w:rsidR="00C65BEB" w:rsidRPr="00AB423F">
        <w:rPr>
          <w:bCs/>
          <w:iCs/>
          <w:lang w:val="en-GB"/>
        </w:rPr>
        <w:t>was approved.</w:t>
      </w:r>
      <w:r w:rsidR="00036BB0" w:rsidRPr="00AB423F">
        <w:rPr>
          <w:bCs/>
          <w:iCs/>
          <w:lang w:val="en-GB"/>
        </w:rPr>
        <w:t xml:space="preserve"> </w:t>
      </w:r>
      <w:r w:rsidR="006A5ADB" w:rsidRPr="00AB423F">
        <w:rPr>
          <w:bCs/>
          <w:iCs/>
          <w:lang w:val="en-GB"/>
        </w:rPr>
        <w:t xml:space="preserve"> </w:t>
      </w:r>
    </w:p>
    <w:p w14:paraId="1B6CDC2B" w14:textId="651F2F1B" w:rsidR="00063C08" w:rsidRPr="00AB423F" w:rsidRDefault="00063C08" w:rsidP="00063C08">
      <w:pPr>
        <w:spacing w:after="0" w:line="240" w:lineRule="auto"/>
        <w:rPr>
          <w:bCs/>
          <w:i/>
          <w:lang w:val="en-GB"/>
        </w:rPr>
      </w:pPr>
    </w:p>
    <w:tbl>
      <w:tblPr>
        <w:tblStyle w:val="Tabelraster"/>
        <w:tblW w:w="9538" w:type="dxa"/>
        <w:tblLook w:val="04A0" w:firstRow="1" w:lastRow="0" w:firstColumn="1" w:lastColumn="0" w:noHBand="0" w:noVBand="1"/>
      </w:tblPr>
      <w:tblGrid>
        <w:gridCol w:w="2720"/>
        <w:gridCol w:w="6818"/>
      </w:tblGrid>
      <w:tr w:rsidR="005F2E9C" w:rsidRPr="00AB423F" w14:paraId="58BECE3E" w14:textId="77777777" w:rsidTr="005F2E9C">
        <w:trPr>
          <w:trHeight w:val="595"/>
        </w:trPr>
        <w:tc>
          <w:tcPr>
            <w:tcW w:w="2720" w:type="dxa"/>
            <w:noWrap/>
            <w:hideMark/>
          </w:tcPr>
          <w:p w14:paraId="20C09DF6" w14:textId="77777777" w:rsidR="005F2E9C" w:rsidRPr="00AB423F" w:rsidRDefault="005F2E9C" w:rsidP="007C5858">
            <w:pPr>
              <w:rPr>
                <w:b/>
                <w:bCs/>
                <w:color w:val="000000"/>
                <w:lang w:eastAsia="nl-BE"/>
              </w:rPr>
            </w:pPr>
            <w:r w:rsidRPr="00AB423F">
              <w:rPr>
                <w:b/>
                <w:bCs/>
                <w:color w:val="000000"/>
                <w:lang w:eastAsia="nl-BE"/>
              </w:rPr>
              <w:t>Project</w:t>
            </w:r>
          </w:p>
        </w:tc>
        <w:tc>
          <w:tcPr>
            <w:tcW w:w="6818" w:type="dxa"/>
            <w:noWrap/>
            <w:hideMark/>
          </w:tcPr>
          <w:p w14:paraId="687E84F0" w14:textId="77777777" w:rsidR="005F2E9C" w:rsidRPr="00AB423F" w:rsidRDefault="005F2E9C" w:rsidP="007C5858">
            <w:pPr>
              <w:rPr>
                <w:b/>
                <w:bCs/>
                <w:color w:val="000000"/>
                <w:lang w:eastAsia="nl-BE"/>
              </w:rPr>
            </w:pPr>
            <w:r w:rsidRPr="00AB423F">
              <w:rPr>
                <w:b/>
                <w:bCs/>
                <w:color w:val="000000"/>
                <w:lang w:eastAsia="nl-BE"/>
              </w:rPr>
              <w:t>Notification status</w:t>
            </w:r>
          </w:p>
        </w:tc>
      </w:tr>
      <w:tr w:rsidR="005F2E9C" w:rsidRPr="00AB423F" w14:paraId="510074E0" w14:textId="77777777" w:rsidTr="005F2E9C">
        <w:trPr>
          <w:trHeight w:val="988"/>
        </w:trPr>
        <w:tc>
          <w:tcPr>
            <w:tcW w:w="2720" w:type="dxa"/>
            <w:noWrap/>
          </w:tcPr>
          <w:p w14:paraId="2AFAFF4F" w14:textId="66651EF5" w:rsidR="005F2E9C" w:rsidRPr="00AB423F" w:rsidRDefault="005F2E9C" w:rsidP="00F64487">
            <w:pPr>
              <w:rPr>
                <w:b/>
                <w:bCs/>
                <w:color w:val="000000"/>
                <w:lang w:eastAsia="nl-BE"/>
              </w:rPr>
            </w:pPr>
            <w:r w:rsidRPr="00AB423F">
              <w:rPr>
                <w:b/>
                <w:bCs/>
                <w:color w:val="000000"/>
                <w:lang w:eastAsia="nl-BE"/>
              </w:rPr>
              <w:t>BE19 Air Liquide</w:t>
            </w:r>
          </w:p>
        </w:tc>
        <w:tc>
          <w:tcPr>
            <w:tcW w:w="6818" w:type="dxa"/>
          </w:tcPr>
          <w:p w14:paraId="6A4415AD" w14:textId="47F078EE" w:rsidR="005F2E9C" w:rsidRPr="00AB423F" w:rsidRDefault="005F2E9C" w:rsidP="00F64487">
            <w:pPr>
              <w:rPr>
                <w:color w:val="000000"/>
                <w:lang w:eastAsia="nl-BE"/>
              </w:rPr>
            </w:pPr>
            <w:r w:rsidRPr="00AB423F">
              <w:rPr>
                <w:color w:val="000000"/>
                <w:lang w:eastAsia="nl-BE"/>
              </w:rPr>
              <w:t>Submitted as part of Wave H2-Mobility &amp; Transport. Transferred to GBER Support granted on the basis of existing scheme SA 60018 (GBER).</w:t>
            </w:r>
          </w:p>
        </w:tc>
      </w:tr>
      <w:tr w:rsidR="005F2E9C" w:rsidRPr="00AB423F" w14:paraId="47F4D654" w14:textId="77777777" w:rsidTr="005F2E9C">
        <w:trPr>
          <w:trHeight w:val="959"/>
        </w:trPr>
        <w:tc>
          <w:tcPr>
            <w:tcW w:w="2720" w:type="dxa"/>
            <w:noWrap/>
          </w:tcPr>
          <w:p w14:paraId="199085DA" w14:textId="6F5C2A89" w:rsidR="005F2E9C" w:rsidRPr="00AB423F" w:rsidRDefault="005F2E9C" w:rsidP="00F64487">
            <w:pPr>
              <w:rPr>
                <w:color w:val="000000"/>
                <w:lang w:eastAsia="nl-BE"/>
              </w:rPr>
            </w:pPr>
            <w:r w:rsidRPr="00AB423F">
              <w:rPr>
                <w:b/>
                <w:bCs/>
                <w:color w:val="000000"/>
                <w:lang w:eastAsia="nl-BE"/>
              </w:rPr>
              <w:t>BE03 Power to Methanol</w:t>
            </w:r>
          </w:p>
        </w:tc>
        <w:tc>
          <w:tcPr>
            <w:tcW w:w="6818" w:type="dxa"/>
          </w:tcPr>
          <w:p w14:paraId="36B7E5BA" w14:textId="3FC0F776" w:rsidR="005F2E9C" w:rsidRPr="00AB423F" w:rsidRDefault="005F2E9C" w:rsidP="00F64487">
            <w:pPr>
              <w:rPr>
                <w:color w:val="000000"/>
                <w:lang w:eastAsia="nl-BE"/>
              </w:rPr>
            </w:pPr>
            <w:r w:rsidRPr="00AB423F">
              <w:rPr>
                <w:color w:val="000000"/>
                <w:lang w:eastAsia="nl-BE"/>
              </w:rPr>
              <w:t>Support granted on the basis of existing scheme SA 60018 (GBER)</w:t>
            </w:r>
          </w:p>
        </w:tc>
      </w:tr>
      <w:tr w:rsidR="005F2E9C" w:rsidRPr="00AB423F" w14:paraId="52D67687" w14:textId="77777777" w:rsidTr="005F2E9C">
        <w:trPr>
          <w:trHeight w:val="974"/>
        </w:trPr>
        <w:tc>
          <w:tcPr>
            <w:tcW w:w="2720" w:type="dxa"/>
            <w:noWrap/>
          </w:tcPr>
          <w:p w14:paraId="16CF327B" w14:textId="5B3077A1" w:rsidR="005F2E9C" w:rsidRPr="00AB423F" w:rsidRDefault="005F2E9C" w:rsidP="00F64487">
            <w:pPr>
              <w:rPr>
                <w:b/>
                <w:bCs/>
                <w:color w:val="000000"/>
                <w:lang w:eastAsia="nl-BE"/>
              </w:rPr>
            </w:pPr>
            <w:r w:rsidRPr="00AB423F">
              <w:rPr>
                <w:b/>
                <w:bCs/>
                <w:color w:val="000000"/>
                <w:lang w:eastAsia="nl-BE"/>
              </w:rPr>
              <w:t xml:space="preserve">BE02 DATS </w:t>
            </w:r>
          </w:p>
        </w:tc>
        <w:tc>
          <w:tcPr>
            <w:tcW w:w="6818" w:type="dxa"/>
          </w:tcPr>
          <w:p w14:paraId="41BEE14F" w14:textId="1FA65C84" w:rsidR="005F2E9C" w:rsidRPr="00AB423F" w:rsidRDefault="005F2E9C" w:rsidP="00F64487">
            <w:pPr>
              <w:rPr>
                <w:color w:val="000000"/>
                <w:lang w:eastAsia="nl-BE"/>
              </w:rPr>
            </w:pPr>
            <w:r w:rsidRPr="00AB423F">
              <w:rPr>
                <w:color w:val="000000"/>
                <w:lang w:eastAsia="nl-BE"/>
              </w:rPr>
              <w:t>Support granted on the basis of existing scheme SA 60018 (GBER)</w:t>
            </w:r>
          </w:p>
        </w:tc>
      </w:tr>
      <w:tr w:rsidR="005F2E9C" w:rsidRPr="00AB423F" w14:paraId="091B36A5" w14:textId="77777777" w:rsidTr="005F2E9C">
        <w:trPr>
          <w:trHeight w:val="537"/>
        </w:trPr>
        <w:tc>
          <w:tcPr>
            <w:tcW w:w="2720" w:type="dxa"/>
            <w:noWrap/>
          </w:tcPr>
          <w:p w14:paraId="088E094A" w14:textId="4C37F91D" w:rsidR="005F2E9C" w:rsidRPr="00AB423F" w:rsidRDefault="005F2E9C" w:rsidP="00F64487">
            <w:pPr>
              <w:rPr>
                <w:b/>
                <w:bCs/>
                <w:color w:val="000000"/>
                <w:lang w:eastAsia="nl-BE"/>
              </w:rPr>
            </w:pPr>
            <w:r w:rsidRPr="00AB423F">
              <w:rPr>
                <w:b/>
                <w:bCs/>
                <w:color w:val="000000"/>
                <w:lang w:eastAsia="nl-BE"/>
              </w:rPr>
              <w:t>BE05/07 Terranova (Terranova Hydrogen and Aertssen)</w:t>
            </w:r>
          </w:p>
        </w:tc>
        <w:tc>
          <w:tcPr>
            <w:tcW w:w="6818" w:type="dxa"/>
          </w:tcPr>
          <w:p w14:paraId="4674C7A1" w14:textId="6D91166F" w:rsidR="005F2E9C" w:rsidRPr="00AB423F" w:rsidRDefault="005F2E9C" w:rsidP="00F64487">
            <w:pPr>
              <w:rPr>
                <w:color w:val="000000"/>
                <w:lang w:eastAsia="nl-BE"/>
              </w:rPr>
            </w:pPr>
            <w:r w:rsidRPr="00AB423F">
              <w:rPr>
                <w:color w:val="000000"/>
                <w:lang w:eastAsia="nl-BE"/>
              </w:rPr>
              <w:t>Support granted on the basis of existing scheme SA 60018 (GBER)</w:t>
            </w:r>
          </w:p>
        </w:tc>
      </w:tr>
      <w:tr w:rsidR="005F2E9C" w:rsidRPr="00AB423F" w14:paraId="29DAAFD3" w14:textId="77777777" w:rsidTr="005F2E9C">
        <w:trPr>
          <w:trHeight w:val="420"/>
        </w:trPr>
        <w:tc>
          <w:tcPr>
            <w:tcW w:w="2720" w:type="dxa"/>
            <w:noWrap/>
          </w:tcPr>
          <w:p w14:paraId="740C1288" w14:textId="7216A099" w:rsidR="005F2E9C" w:rsidRPr="00AB423F" w:rsidRDefault="005F2E9C" w:rsidP="00F64487">
            <w:pPr>
              <w:rPr>
                <w:b/>
                <w:bCs/>
                <w:color w:val="000000"/>
                <w:lang w:eastAsia="nl-BE"/>
              </w:rPr>
            </w:pPr>
            <w:r w:rsidRPr="00AB423F">
              <w:rPr>
                <w:b/>
                <w:bCs/>
                <w:color w:val="000000"/>
                <w:lang w:eastAsia="nl-BE"/>
              </w:rPr>
              <w:t>BE10 HyoffWind</w:t>
            </w:r>
          </w:p>
        </w:tc>
        <w:tc>
          <w:tcPr>
            <w:tcW w:w="6818" w:type="dxa"/>
          </w:tcPr>
          <w:p w14:paraId="5FADCE92" w14:textId="7CF20E69" w:rsidR="005F2E9C" w:rsidRPr="00AB423F" w:rsidRDefault="005F2E9C" w:rsidP="00F64487">
            <w:pPr>
              <w:rPr>
                <w:color w:val="000000"/>
                <w:lang w:eastAsia="nl-BE"/>
              </w:rPr>
            </w:pPr>
            <w:r w:rsidRPr="00AB423F">
              <w:rPr>
                <w:color w:val="000000"/>
                <w:lang w:eastAsia="nl-BE"/>
              </w:rPr>
              <w:t xml:space="preserve">Submitted for prenotification as part of wave IPCEI H2-use on 31 August 2021. Transferred to CEEAG on advice of the Commission. Notification withdrawn. Resubmitted in September 2023. Aid granted under GBER. </w:t>
            </w:r>
            <w:r w:rsidR="00571B04" w:rsidRPr="00AB423F">
              <w:rPr>
                <w:color w:val="000000"/>
                <w:lang w:eastAsia="nl-BE"/>
              </w:rPr>
              <w:t>SA.111892</w:t>
            </w:r>
          </w:p>
        </w:tc>
      </w:tr>
      <w:tr w:rsidR="005F2E9C" w:rsidRPr="00AB423F" w14:paraId="122A90DD" w14:textId="77777777" w:rsidTr="005F2E9C">
        <w:trPr>
          <w:trHeight w:val="595"/>
        </w:trPr>
        <w:tc>
          <w:tcPr>
            <w:tcW w:w="2720" w:type="dxa"/>
          </w:tcPr>
          <w:p w14:paraId="45980400" w14:textId="193CB9E4" w:rsidR="005F2E9C" w:rsidRPr="00AB423F" w:rsidRDefault="005F2E9C" w:rsidP="00F64487">
            <w:pPr>
              <w:rPr>
                <w:b/>
                <w:bCs/>
                <w:color w:val="000000"/>
                <w:lang w:eastAsia="nl-BE"/>
              </w:rPr>
            </w:pPr>
            <w:r w:rsidRPr="00AB423F">
              <w:rPr>
                <w:b/>
                <w:bCs/>
                <w:color w:val="000000"/>
                <w:lang w:eastAsia="nl-BE"/>
              </w:rPr>
              <w:t xml:space="preserve">ArcelorMittal DRI </w:t>
            </w:r>
            <w:r w:rsidR="000C5F63" w:rsidRPr="00AB423F">
              <w:rPr>
                <w:b/>
                <w:bCs/>
                <w:color w:val="000000"/>
                <w:lang w:eastAsia="nl-BE"/>
              </w:rPr>
              <w:t>Feasibility</w:t>
            </w:r>
            <w:r w:rsidRPr="00AB423F">
              <w:rPr>
                <w:b/>
                <w:bCs/>
                <w:color w:val="000000"/>
                <w:lang w:eastAsia="nl-BE"/>
              </w:rPr>
              <w:t xml:space="preserve"> Study</w:t>
            </w:r>
            <w:r w:rsidRPr="00AB423F">
              <w:rPr>
                <w:b/>
                <w:bCs/>
                <w:color w:val="000000"/>
                <w:lang w:eastAsia="nl-BE"/>
              </w:rPr>
              <w:tab/>
            </w:r>
            <w:r w:rsidRPr="00AB423F">
              <w:rPr>
                <w:b/>
                <w:bCs/>
                <w:color w:val="000000"/>
                <w:lang w:eastAsia="nl-BE"/>
              </w:rPr>
              <w:tab/>
            </w:r>
          </w:p>
        </w:tc>
        <w:tc>
          <w:tcPr>
            <w:tcW w:w="6818" w:type="dxa"/>
          </w:tcPr>
          <w:p w14:paraId="30323BBD" w14:textId="13AD30DA" w:rsidR="005F2E9C" w:rsidRPr="00AB423F" w:rsidRDefault="005F2E9C" w:rsidP="00F64487">
            <w:pPr>
              <w:rPr>
                <w:color w:val="000000"/>
                <w:lang w:eastAsia="nl-BE"/>
              </w:rPr>
            </w:pPr>
            <w:r w:rsidRPr="00AB423F">
              <w:rPr>
                <w:color w:val="000000"/>
                <w:lang w:eastAsia="nl-BE"/>
              </w:rPr>
              <w:t>Support granted on the basis of GBER</w:t>
            </w:r>
            <w:r w:rsidR="00D87DF7" w:rsidRPr="00AB423F">
              <w:rPr>
                <w:color w:val="000000"/>
                <w:lang w:eastAsia="nl-BE"/>
              </w:rPr>
              <w:t xml:space="preserve"> </w:t>
            </w:r>
            <w:r w:rsidR="00F40B55" w:rsidRPr="00AB423F">
              <w:rPr>
                <w:color w:val="000000"/>
                <w:lang w:eastAsia="nl-BE"/>
              </w:rPr>
              <w:t>SA103371</w:t>
            </w:r>
          </w:p>
        </w:tc>
      </w:tr>
      <w:tr w:rsidR="005F2E9C" w:rsidRPr="00AB423F" w14:paraId="1451A1D1" w14:textId="77777777" w:rsidTr="005F2E9C">
        <w:trPr>
          <w:trHeight w:val="595"/>
        </w:trPr>
        <w:tc>
          <w:tcPr>
            <w:tcW w:w="2720" w:type="dxa"/>
          </w:tcPr>
          <w:p w14:paraId="0604218A" w14:textId="3CE056F1" w:rsidR="005F2E9C" w:rsidRPr="00AB423F" w:rsidRDefault="005F2E9C" w:rsidP="00F64487">
            <w:pPr>
              <w:rPr>
                <w:b/>
                <w:bCs/>
                <w:color w:val="000000"/>
                <w:lang w:eastAsia="nl-BE"/>
              </w:rPr>
            </w:pPr>
            <w:r w:rsidRPr="00AB423F">
              <w:rPr>
                <w:b/>
                <w:bCs/>
                <w:color w:val="000000"/>
                <w:lang w:eastAsia="nl-BE"/>
              </w:rPr>
              <w:t>ArcelorMittal R&amp;D</w:t>
            </w:r>
          </w:p>
          <w:p w14:paraId="678767E6" w14:textId="057441D5" w:rsidR="005F2E9C" w:rsidRPr="00AB423F" w:rsidRDefault="005F2E9C" w:rsidP="00F64487">
            <w:pPr>
              <w:rPr>
                <w:b/>
                <w:bCs/>
                <w:color w:val="000000"/>
                <w:lang w:eastAsia="nl-BE"/>
              </w:rPr>
            </w:pPr>
          </w:p>
        </w:tc>
        <w:tc>
          <w:tcPr>
            <w:tcW w:w="6818" w:type="dxa"/>
          </w:tcPr>
          <w:p w14:paraId="0146CDCB" w14:textId="6544140F" w:rsidR="005F2E9C" w:rsidRPr="00AB423F" w:rsidRDefault="005F2E9C" w:rsidP="00F64487">
            <w:pPr>
              <w:rPr>
                <w:color w:val="000000"/>
                <w:lang w:eastAsia="nl-BE"/>
              </w:rPr>
            </w:pPr>
            <w:r w:rsidRPr="00AB423F">
              <w:rPr>
                <w:color w:val="000000"/>
                <w:lang w:eastAsia="nl-BE"/>
              </w:rPr>
              <w:t xml:space="preserve">Support granted on the basis of existing scheme </w:t>
            </w:r>
            <w:r w:rsidR="001F28A6" w:rsidRPr="00AB423F">
              <w:rPr>
                <w:color w:val="000000"/>
                <w:lang w:eastAsia="nl-BE"/>
              </w:rPr>
              <w:t xml:space="preserve">(SA </w:t>
            </w:r>
            <w:r w:rsidR="00AA3290" w:rsidRPr="00AB423F">
              <w:rPr>
                <w:color w:val="000000"/>
                <w:lang w:eastAsia="nl-BE"/>
              </w:rPr>
              <w:t>63759</w:t>
            </w:r>
            <w:r w:rsidR="009605D5" w:rsidRPr="00AB423F">
              <w:rPr>
                <w:color w:val="000000"/>
                <w:lang w:eastAsia="nl-BE"/>
              </w:rPr>
              <w:t>)</w:t>
            </w:r>
          </w:p>
        </w:tc>
      </w:tr>
      <w:tr w:rsidR="005F2E9C" w:rsidRPr="00AB423F" w14:paraId="155E5D4D" w14:textId="77777777" w:rsidTr="005F2E9C">
        <w:trPr>
          <w:trHeight w:val="595"/>
        </w:trPr>
        <w:tc>
          <w:tcPr>
            <w:tcW w:w="2720" w:type="dxa"/>
          </w:tcPr>
          <w:p w14:paraId="2E080147" w14:textId="77777777" w:rsidR="005F2E9C" w:rsidRPr="00AB423F" w:rsidRDefault="005F2E9C" w:rsidP="00D94E76">
            <w:pPr>
              <w:rPr>
                <w:b/>
                <w:bCs/>
                <w:color w:val="000000"/>
                <w:lang w:eastAsia="nl-BE"/>
              </w:rPr>
            </w:pPr>
            <w:r w:rsidRPr="00AB423F">
              <w:rPr>
                <w:b/>
                <w:bCs/>
                <w:color w:val="000000"/>
                <w:lang w:eastAsia="nl-BE"/>
              </w:rPr>
              <w:t>BE15 ArcelorMittal</w:t>
            </w:r>
          </w:p>
          <w:p w14:paraId="7C39E7F9" w14:textId="0425DCE2" w:rsidR="005F2E9C" w:rsidRPr="00AB423F" w:rsidRDefault="005F2E9C" w:rsidP="00D94E76">
            <w:pPr>
              <w:rPr>
                <w:b/>
                <w:bCs/>
                <w:color w:val="000000"/>
                <w:lang w:eastAsia="nl-BE"/>
              </w:rPr>
            </w:pPr>
            <w:r w:rsidRPr="00AB423F">
              <w:rPr>
                <w:color w:val="000000"/>
                <w:lang w:eastAsia="nl-BE"/>
              </w:rPr>
              <w:t>(</w:t>
            </w:r>
            <w:r w:rsidRPr="00AB423F">
              <w:t>IPCEI.2022.0002 and IPCEI.2022.0010)</w:t>
            </w:r>
          </w:p>
        </w:tc>
        <w:tc>
          <w:tcPr>
            <w:tcW w:w="6818" w:type="dxa"/>
          </w:tcPr>
          <w:p w14:paraId="129FBE90" w14:textId="3313A474" w:rsidR="005F2E9C" w:rsidRPr="00AB423F" w:rsidRDefault="005F2E9C" w:rsidP="00D94E76">
            <w:pPr>
              <w:rPr>
                <w:color w:val="000000"/>
                <w:lang w:eastAsia="nl-BE"/>
              </w:rPr>
            </w:pPr>
            <w:r w:rsidRPr="00AB423F">
              <w:rPr>
                <w:color w:val="000000"/>
                <w:lang w:eastAsia="nl-BE"/>
              </w:rPr>
              <w:t>Submitted for pre-notification in wave H2-use on  31 August 2021.  Transferred to CEEAG on advice of the Commission. State aid approval on 22/06/2023.</w:t>
            </w:r>
            <w:r w:rsidR="00D87DF7" w:rsidRPr="00AB423F">
              <w:rPr>
                <w:color w:val="000000"/>
                <w:lang w:eastAsia="nl-BE"/>
              </w:rPr>
              <w:t xml:space="preserve"> SA 104897</w:t>
            </w:r>
          </w:p>
        </w:tc>
      </w:tr>
    </w:tbl>
    <w:p w14:paraId="785F12F2" w14:textId="77777777" w:rsidR="005A6AB3" w:rsidRPr="00AB423F" w:rsidRDefault="005A6AB3" w:rsidP="00063C08">
      <w:pPr>
        <w:spacing w:after="0" w:line="240" w:lineRule="auto"/>
        <w:rPr>
          <w:bCs/>
          <w:i/>
          <w:lang w:val="en-GB"/>
        </w:rPr>
      </w:pPr>
    </w:p>
    <w:p w14:paraId="10CA8A33" w14:textId="75288A03" w:rsidR="000449AC" w:rsidRPr="00AB423F" w:rsidRDefault="00063C08" w:rsidP="00063C08">
      <w:pPr>
        <w:spacing w:after="0" w:line="240" w:lineRule="auto"/>
        <w:rPr>
          <w:bCs/>
          <w:iCs/>
          <w:lang w:val="en-GB"/>
        </w:rPr>
      </w:pPr>
      <w:r w:rsidRPr="00AB423F">
        <w:rPr>
          <w:bCs/>
          <w:iCs/>
          <w:lang w:val="en-GB"/>
        </w:rPr>
        <w:t>Project beneficiaries were notified in writing. This notification also includes a reference to the DNSH terms and conditions applicable to the projects.</w:t>
      </w:r>
    </w:p>
    <w:p w14:paraId="2F43985E" w14:textId="4F390A9D" w:rsidR="007A5889" w:rsidRPr="00AB423F" w:rsidRDefault="007A5889" w:rsidP="00063C08">
      <w:pPr>
        <w:spacing w:after="0" w:line="240" w:lineRule="auto"/>
        <w:rPr>
          <w:bCs/>
          <w:iCs/>
          <w:lang w:val="en-GB"/>
        </w:rPr>
      </w:pPr>
    </w:p>
    <w:p w14:paraId="0B03703A" w14:textId="54741436" w:rsidR="003106F5" w:rsidRPr="00AB423F" w:rsidRDefault="003106F5" w:rsidP="003106F5">
      <w:pPr>
        <w:spacing w:after="0" w:line="240" w:lineRule="auto"/>
        <w:rPr>
          <w:bCs/>
          <w:iCs/>
          <w:lang w:val="en-GB"/>
        </w:rPr>
      </w:pPr>
      <w:r w:rsidRPr="00AB423F">
        <w:rPr>
          <w:bCs/>
          <w:iCs/>
          <w:lang w:val="en-GB"/>
        </w:rPr>
        <w:t>For milestones 21 and 22 together, an amount of €</w:t>
      </w:r>
      <w:r w:rsidR="001E237D" w:rsidRPr="00843AE0">
        <w:rPr>
          <w:lang w:val="en-GB"/>
        </w:rPr>
        <w:t xml:space="preserve"> </w:t>
      </w:r>
      <w:r w:rsidR="001E237D" w:rsidRPr="00AB423F">
        <w:rPr>
          <w:bCs/>
          <w:iCs/>
          <w:lang w:val="en-GB"/>
        </w:rPr>
        <w:t>180.132</w:t>
      </w:r>
      <w:r w:rsidRPr="00AB423F">
        <w:rPr>
          <w:bCs/>
          <w:iCs/>
          <w:lang w:val="en-GB"/>
        </w:rPr>
        <w:t xml:space="preserve"> was committed.  </w:t>
      </w:r>
    </w:p>
    <w:p w14:paraId="1DF51513" w14:textId="77777777" w:rsidR="003106F5" w:rsidRPr="00AB423F" w:rsidRDefault="003106F5" w:rsidP="003106F5">
      <w:pPr>
        <w:spacing w:after="0" w:line="240" w:lineRule="auto"/>
        <w:rPr>
          <w:bCs/>
          <w:iCs/>
          <w:lang w:val="en-GB"/>
        </w:rPr>
      </w:pPr>
    </w:p>
    <w:p w14:paraId="25C20F02" w14:textId="49B42F07" w:rsidR="000449AC" w:rsidRPr="00AB423F" w:rsidRDefault="003106F5" w:rsidP="003106F5">
      <w:pPr>
        <w:spacing w:after="0" w:line="240" w:lineRule="auto"/>
        <w:rPr>
          <w:bCs/>
          <w:iCs/>
          <w:lang w:val="en-GB"/>
        </w:rPr>
      </w:pPr>
      <w:r w:rsidRPr="00AB423F">
        <w:rPr>
          <w:bCs/>
          <w:iCs/>
          <w:lang w:val="en-GB"/>
        </w:rPr>
        <w:lastRenderedPageBreak/>
        <w:t xml:space="preserve">In terms of expected electrolyser capacity, the projects under </w:t>
      </w:r>
      <w:r w:rsidR="00D655BF" w:rsidRPr="00AB423F">
        <w:rPr>
          <w:bCs/>
          <w:iCs/>
          <w:lang w:val="en-GB"/>
        </w:rPr>
        <w:t>milestones</w:t>
      </w:r>
      <w:r w:rsidRPr="00AB423F">
        <w:rPr>
          <w:bCs/>
          <w:iCs/>
          <w:lang w:val="en-GB"/>
        </w:rPr>
        <w:t xml:space="preserve"> 21 and 22 represent a total capacity of 100 MW. </w:t>
      </w:r>
    </w:p>
    <w:p w14:paraId="43C05A54" w14:textId="77777777" w:rsidR="003106F5" w:rsidRPr="00843AE0" w:rsidRDefault="003106F5" w:rsidP="00E942D7">
      <w:pPr>
        <w:spacing w:after="0" w:line="240" w:lineRule="auto"/>
        <w:rPr>
          <w:rFonts w:eastAsia="Times New Roman" w:cstheme="minorHAnsi"/>
          <w:b/>
          <w:noProof/>
          <w:lang w:val="en-GB" w:eastAsia="en-GB"/>
        </w:rPr>
      </w:pPr>
    </w:p>
    <w:p w14:paraId="40C6EA25" w14:textId="793F490F" w:rsidR="00DE5A5D" w:rsidRPr="00843AE0" w:rsidRDefault="00DE5A5D" w:rsidP="00E942D7">
      <w:pPr>
        <w:spacing w:after="0" w:line="240" w:lineRule="auto"/>
        <w:rPr>
          <w:rFonts w:eastAsia="Times New Roman" w:cstheme="minorHAnsi"/>
          <w:b/>
          <w:noProof/>
          <w:lang w:val="en-GB" w:eastAsia="en-GB"/>
        </w:rPr>
      </w:pPr>
      <w:r w:rsidRPr="00843AE0">
        <w:rPr>
          <w:rFonts w:eastAsia="Times New Roman" w:cstheme="minorHAnsi"/>
          <w:b/>
          <w:noProof/>
          <w:lang w:val="en-GB" w:eastAsia="en-GB"/>
        </w:rPr>
        <w:t>II)</w:t>
      </w:r>
      <w:r w:rsidR="00B5501B" w:rsidRPr="00843AE0">
        <w:rPr>
          <w:rFonts w:eastAsia="Times New Roman" w:cstheme="minorHAnsi"/>
          <w:b/>
          <w:noProof/>
          <w:lang w:val="en-GB" w:eastAsia="en-GB"/>
        </w:rPr>
        <w:t xml:space="preserve"> Are excluded from selected projects: all activities under the Emission Trading Scheme (ETS) with projected CO2 equivalent emissions that are not substantially lower than the relevant benchmarks established for free allocation</w:t>
      </w:r>
    </w:p>
    <w:p w14:paraId="0BE2AD0D" w14:textId="20C687CF" w:rsidR="00B5501B" w:rsidRPr="00843AE0" w:rsidRDefault="00B5501B" w:rsidP="00E942D7">
      <w:pPr>
        <w:spacing w:after="0" w:line="240" w:lineRule="auto"/>
        <w:rPr>
          <w:rFonts w:eastAsia="Times New Roman" w:cstheme="minorHAnsi"/>
          <w:b/>
          <w:noProof/>
          <w:lang w:val="en-GB" w:eastAsia="en-GB"/>
        </w:rPr>
      </w:pPr>
    </w:p>
    <w:p w14:paraId="2F7381E1" w14:textId="77777777" w:rsidR="000D3C21" w:rsidRPr="00843AE0" w:rsidRDefault="00811C0C" w:rsidP="00E942D7">
      <w:pPr>
        <w:spacing w:after="0" w:line="240" w:lineRule="auto"/>
        <w:rPr>
          <w:rFonts w:eastAsia="Times New Roman" w:cstheme="minorHAnsi"/>
          <w:bCs/>
          <w:noProof/>
          <w:lang w:val="en-GB" w:eastAsia="en-GB"/>
        </w:rPr>
      </w:pPr>
      <w:r w:rsidRPr="00843AE0">
        <w:rPr>
          <w:rFonts w:eastAsia="Times New Roman" w:cstheme="minorHAnsi"/>
          <w:bCs/>
          <w:noProof/>
          <w:lang w:val="en-GB" w:eastAsia="en-GB"/>
        </w:rPr>
        <w:t xml:space="preserve">A question on whether activities </w:t>
      </w:r>
      <w:r w:rsidR="00E835D9" w:rsidRPr="00843AE0">
        <w:rPr>
          <w:rFonts w:eastAsia="Times New Roman" w:cstheme="minorHAnsi"/>
          <w:bCs/>
          <w:noProof/>
          <w:lang w:val="en-GB" w:eastAsia="en-GB"/>
        </w:rPr>
        <w:t>under</w:t>
      </w:r>
      <w:r w:rsidRPr="00843AE0">
        <w:rPr>
          <w:rFonts w:eastAsia="Times New Roman" w:cstheme="minorHAnsi"/>
          <w:bCs/>
          <w:noProof/>
          <w:lang w:val="en-GB" w:eastAsia="en-GB"/>
        </w:rPr>
        <w:t xml:space="preserve"> the application of ETS occur in the project was included in the template for the DNSH assessment provided to applicants.</w:t>
      </w:r>
      <w:r w:rsidR="00817213" w:rsidRPr="00843AE0">
        <w:rPr>
          <w:rFonts w:eastAsia="Times New Roman" w:cstheme="minorHAnsi"/>
          <w:bCs/>
          <w:noProof/>
          <w:lang w:val="en-GB" w:eastAsia="en-GB"/>
        </w:rPr>
        <w:t xml:space="preserve"> </w:t>
      </w:r>
    </w:p>
    <w:p w14:paraId="28959710" w14:textId="77777777" w:rsidR="000D3C21" w:rsidRPr="00843AE0" w:rsidRDefault="000D3C21" w:rsidP="00E942D7">
      <w:pPr>
        <w:spacing w:after="0" w:line="240" w:lineRule="auto"/>
        <w:rPr>
          <w:rFonts w:eastAsia="Times New Roman" w:cstheme="minorHAnsi"/>
          <w:bCs/>
          <w:noProof/>
          <w:lang w:val="en-GB" w:eastAsia="en-GB"/>
        </w:rPr>
      </w:pPr>
    </w:p>
    <w:p w14:paraId="7B54DFFF" w14:textId="5A0DEC40" w:rsidR="000449AC" w:rsidRPr="00843AE0" w:rsidRDefault="00817213" w:rsidP="00E942D7">
      <w:pPr>
        <w:spacing w:after="0" w:line="240" w:lineRule="auto"/>
        <w:rPr>
          <w:rFonts w:eastAsia="Times New Roman" w:cstheme="minorHAnsi"/>
          <w:bCs/>
          <w:noProof/>
          <w:color w:val="FF0000"/>
          <w:lang w:val="en-GB" w:eastAsia="en-GB"/>
        </w:rPr>
      </w:pPr>
      <w:r w:rsidRPr="00843AE0">
        <w:rPr>
          <w:bCs/>
          <w:lang w:val="en-GB"/>
        </w:rPr>
        <w:t xml:space="preserve">One of the selected </w:t>
      </w:r>
      <w:r w:rsidR="00BD2A73" w:rsidRPr="00843AE0">
        <w:rPr>
          <w:bCs/>
          <w:lang w:val="en-GB"/>
        </w:rPr>
        <w:t>investments</w:t>
      </w:r>
      <w:r w:rsidRPr="00843AE0">
        <w:rPr>
          <w:bCs/>
          <w:lang w:val="en-GB"/>
        </w:rPr>
        <w:t xml:space="preserve"> relates to activities subject to ETS: </w:t>
      </w:r>
      <w:r w:rsidR="00BD2A73" w:rsidRPr="00843AE0">
        <w:rPr>
          <w:bCs/>
          <w:lang w:val="en-GB"/>
        </w:rPr>
        <w:t xml:space="preserve">the investment </w:t>
      </w:r>
      <w:r w:rsidR="00526608" w:rsidRPr="00843AE0">
        <w:rPr>
          <w:bCs/>
          <w:lang w:val="en-GB"/>
        </w:rPr>
        <w:t>at Arcelor Mittal Ghent</w:t>
      </w:r>
      <w:r w:rsidR="00BD486A" w:rsidRPr="00843AE0">
        <w:rPr>
          <w:bCs/>
          <w:lang w:val="en-GB"/>
        </w:rPr>
        <w:t xml:space="preserve">. Information on ETS </w:t>
      </w:r>
      <w:r w:rsidR="00D01D01" w:rsidRPr="00843AE0">
        <w:rPr>
          <w:bCs/>
          <w:lang w:val="en-GB"/>
        </w:rPr>
        <w:t xml:space="preserve">and projected CO2 equivalent emissions was </w:t>
      </w:r>
      <w:r w:rsidR="00EA4C86" w:rsidRPr="00843AE0">
        <w:rPr>
          <w:bCs/>
          <w:lang w:val="en-GB"/>
        </w:rPr>
        <w:t>provided in the DNSH-assessment.</w:t>
      </w:r>
      <w:r w:rsidR="00D037F3" w:rsidRPr="00843AE0">
        <w:rPr>
          <w:bCs/>
          <w:lang w:val="en-GB"/>
        </w:rPr>
        <w:t xml:space="preserve"> Additional information regarding the DNSH-compliance of the investment</w:t>
      </w:r>
      <w:r w:rsidR="00EA4C86" w:rsidRPr="00843AE0">
        <w:rPr>
          <w:bCs/>
          <w:lang w:val="en-GB"/>
        </w:rPr>
        <w:t xml:space="preserve"> </w:t>
      </w:r>
      <w:r w:rsidR="00D037F3" w:rsidRPr="00843AE0">
        <w:rPr>
          <w:bCs/>
          <w:lang w:val="en-GB"/>
        </w:rPr>
        <w:t xml:space="preserve">was provided in the course of the CEEAG </w:t>
      </w:r>
      <w:r w:rsidR="00E314FF" w:rsidRPr="00843AE0">
        <w:rPr>
          <w:bCs/>
          <w:lang w:val="en-GB"/>
        </w:rPr>
        <w:t>pre-notification.</w:t>
      </w:r>
      <w:r w:rsidR="004F35DB" w:rsidRPr="00843AE0">
        <w:rPr>
          <w:bCs/>
          <w:lang w:val="en-GB"/>
        </w:rPr>
        <w:t xml:space="preserve"> The investment was assessed as being DNSH-compliant.</w:t>
      </w:r>
    </w:p>
    <w:p w14:paraId="72E44360" w14:textId="77777777" w:rsidR="000449AC" w:rsidRPr="00843AE0" w:rsidRDefault="000449AC" w:rsidP="00E942D7">
      <w:pPr>
        <w:spacing w:after="0" w:line="240" w:lineRule="auto"/>
        <w:rPr>
          <w:rFonts w:eastAsia="Times New Roman" w:cstheme="minorHAnsi"/>
          <w:b/>
          <w:noProof/>
          <w:lang w:val="en-GB" w:eastAsia="en-GB"/>
        </w:rPr>
      </w:pPr>
    </w:p>
    <w:p w14:paraId="17AE4501" w14:textId="0E3B3FF2" w:rsidR="003A0CFF" w:rsidRPr="00843AE0" w:rsidRDefault="00B5501B" w:rsidP="003A0CFF">
      <w:pPr>
        <w:spacing w:after="0"/>
        <w:rPr>
          <w:rFonts w:eastAsia="Times New Roman" w:cstheme="minorHAnsi"/>
          <w:b/>
          <w:noProof/>
          <w:lang w:val="en-GB" w:eastAsia="en-GB"/>
        </w:rPr>
      </w:pPr>
      <w:r w:rsidRPr="00843AE0">
        <w:rPr>
          <w:rFonts w:eastAsia="Times New Roman" w:cstheme="minorHAnsi"/>
          <w:b/>
          <w:noProof/>
          <w:lang w:val="en-GB" w:eastAsia="en-GB"/>
        </w:rPr>
        <w:t>III)</w:t>
      </w:r>
      <w:r w:rsidR="003A0CFF" w:rsidRPr="00843AE0">
        <w:rPr>
          <w:rFonts w:eastAsia="Times New Roman" w:cstheme="minorHAnsi"/>
          <w:b/>
          <w:noProof/>
          <w:lang w:val="en-GB" w:eastAsia="en-GB"/>
        </w:rPr>
        <w:t xml:space="preserve"> Selected research and innovation (R&amp;I) projects shall comply with the following conditions: </w:t>
      </w:r>
    </w:p>
    <w:p w14:paraId="1399E825" w14:textId="77777777" w:rsidR="003A0CFF" w:rsidRPr="00843AE0" w:rsidRDefault="003A0CFF" w:rsidP="003A0CFF">
      <w:pPr>
        <w:spacing w:after="0"/>
        <w:rPr>
          <w:rFonts w:eastAsia="Times New Roman" w:cstheme="minorHAnsi"/>
          <w:b/>
          <w:noProof/>
          <w:lang w:val="en-GB" w:eastAsia="en-GB"/>
        </w:rPr>
      </w:pPr>
      <w:r w:rsidRPr="00843AE0">
        <w:rPr>
          <w:rFonts w:eastAsia="Times New Roman" w:cstheme="minorHAnsi"/>
          <w:b/>
          <w:noProof/>
          <w:lang w:val="en-GB" w:eastAsia="en-GB"/>
        </w:rPr>
        <w:t>- The R&amp;I exclusively or primarily focuses on low-impact options (such as renewable hydrogen production or other zero emission environmental innovations); or</w:t>
      </w:r>
    </w:p>
    <w:p w14:paraId="126B9070" w14:textId="77777777" w:rsidR="003A0CFF" w:rsidRPr="00843AE0" w:rsidRDefault="003A0CFF" w:rsidP="003A0CFF">
      <w:pPr>
        <w:spacing w:after="0"/>
        <w:rPr>
          <w:rFonts w:eastAsia="Times New Roman" w:cstheme="minorHAnsi"/>
          <w:b/>
          <w:noProof/>
          <w:lang w:val="en-GB" w:eastAsia="en-GB"/>
        </w:rPr>
      </w:pPr>
      <w:r w:rsidRPr="00843AE0">
        <w:rPr>
          <w:rFonts w:eastAsia="Times New Roman" w:cstheme="minorHAnsi"/>
          <w:b/>
          <w:noProof/>
          <w:lang w:val="en-GB" w:eastAsia="en-GB"/>
        </w:rPr>
        <w:t>- The R&amp;I is dedicated to improving “best in class” technology (such as technologies with the most limited impact (but not zero / low impact) among those currently available), and appropriate flanking measures are put in place to prevent lock-in effects (measures enabling the uptake of low impact technologies, or their development); or</w:t>
      </w:r>
    </w:p>
    <w:p w14:paraId="4390C69E" w14:textId="77777777" w:rsidR="003A0CFF" w:rsidRPr="00843AE0" w:rsidRDefault="003A0CFF" w:rsidP="003A0CFF">
      <w:pPr>
        <w:spacing w:after="0"/>
        <w:rPr>
          <w:rFonts w:eastAsia="Times New Roman" w:cstheme="minorHAnsi"/>
          <w:b/>
          <w:noProof/>
          <w:lang w:val="en-GB" w:eastAsia="en-GB"/>
        </w:rPr>
      </w:pPr>
      <w:r w:rsidRPr="00843AE0">
        <w:rPr>
          <w:rFonts w:eastAsia="Times New Roman" w:cstheme="minorHAnsi"/>
          <w:b/>
          <w:noProof/>
          <w:lang w:val="en-GB" w:eastAsia="en-GB"/>
        </w:rPr>
        <w:t>- The results of the R&amp;I process are technologically neutral at the level of their application (i.e. they may be applied across all available technologies)</w:t>
      </w:r>
    </w:p>
    <w:p w14:paraId="6104F36F" w14:textId="1F53354D" w:rsidR="00B5501B" w:rsidRPr="00843AE0" w:rsidRDefault="00B5501B" w:rsidP="00E942D7">
      <w:pPr>
        <w:spacing w:after="0" w:line="240" w:lineRule="auto"/>
        <w:rPr>
          <w:rFonts w:cstheme="minorHAnsi"/>
          <w:b/>
          <w:iCs/>
          <w:lang w:val="en-GB"/>
        </w:rPr>
      </w:pPr>
    </w:p>
    <w:p w14:paraId="56308078" w14:textId="64096BFC" w:rsidR="00EB217B" w:rsidRPr="00843AE0" w:rsidRDefault="00EB217B" w:rsidP="00E942D7">
      <w:pPr>
        <w:spacing w:after="0" w:line="240" w:lineRule="auto"/>
        <w:rPr>
          <w:rFonts w:cstheme="minorHAnsi"/>
          <w:b/>
          <w:color w:val="FF0000"/>
          <w:lang w:val="en-GB"/>
        </w:rPr>
      </w:pPr>
      <w:r w:rsidRPr="00843AE0">
        <w:rPr>
          <w:rFonts w:eastAsia="Times New Roman" w:cstheme="minorHAnsi"/>
          <w:bCs/>
          <w:noProof/>
          <w:lang w:val="en-GB" w:eastAsia="en-GB"/>
        </w:rPr>
        <w:t xml:space="preserve">A question on Research &amp; innovation was included in the template for the DNSH assessment provided to applicants. </w:t>
      </w:r>
      <w:r w:rsidR="00C17981" w:rsidRPr="00843AE0">
        <w:rPr>
          <w:rFonts w:eastAsia="Times New Roman" w:cstheme="minorHAnsi"/>
          <w:bCs/>
          <w:noProof/>
          <w:lang w:val="en-GB" w:eastAsia="en-GB"/>
        </w:rPr>
        <w:t xml:space="preserve">Based on this self-assessment by the company and the project descriptions in the application, VLAIO concluded that </w:t>
      </w:r>
      <w:r w:rsidR="00AE5A63" w:rsidRPr="00843AE0">
        <w:rPr>
          <w:rFonts w:eastAsia="Times New Roman" w:cstheme="minorHAnsi"/>
          <w:bCs/>
          <w:noProof/>
          <w:lang w:val="en-GB" w:eastAsia="en-GB"/>
        </w:rPr>
        <w:t>the project</w:t>
      </w:r>
      <w:r w:rsidR="00F94F26" w:rsidRPr="00843AE0">
        <w:rPr>
          <w:rFonts w:eastAsia="Times New Roman" w:cstheme="minorHAnsi"/>
          <w:bCs/>
          <w:noProof/>
          <w:lang w:val="en-GB" w:eastAsia="en-GB"/>
        </w:rPr>
        <w:t>s</w:t>
      </w:r>
      <w:r w:rsidR="00AE5A63" w:rsidRPr="00843AE0">
        <w:rPr>
          <w:rFonts w:eastAsia="Times New Roman" w:cstheme="minorHAnsi"/>
          <w:bCs/>
          <w:noProof/>
          <w:lang w:val="en-GB" w:eastAsia="en-GB"/>
        </w:rPr>
        <w:t xml:space="preserve"> do indeed focus on R&amp;D </w:t>
      </w:r>
      <w:r w:rsidR="00C5425C" w:rsidRPr="00843AE0">
        <w:rPr>
          <w:rFonts w:eastAsia="Times New Roman" w:cstheme="minorHAnsi"/>
          <w:bCs/>
          <w:noProof/>
          <w:lang w:val="en-GB" w:eastAsia="en-GB"/>
        </w:rPr>
        <w:t>dedicated to low-impact options</w:t>
      </w:r>
      <w:r w:rsidR="005C280F" w:rsidRPr="00843AE0">
        <w:rPr>
          <w:lang w:val="en-GB"/>
        </w:rPr>
        <w:t xml:space="preserve"> </w:t>
      </w:r>
      <w:r w:rsidR="005C280F" w:rsidRPr="00843AE0">
        <w:rPr>
          <w:rFonts w:eastAsia="Times New Roman" w:cstheme="minorHAnsi"/>
          <w:bCs/>
          <w:noProof/>
          <w:lang w:val="en-GB" w:eastAsia="en-GB"/>
        </w:rPr>
        <w:t>and aims to improve best-in-class technology.</w:t>
      </w:r>
    </w:p>
    <w:p w14:paraId="077CE738" w14:textId="77777777" w:rsidR="00EB217B" w:rsidRPr="00843AE0" w:rsidRDefault="00EB217B" w:rsidP="00E942D7">
      <w:pPr>
        <w:spacing w:after="0" w:line="240" w:lineRule="auto"/>
        <w:rPr>
          <w:rFonts w:cstheme="minorHAnsi"/>
          <w:b/>
          <w:iCs/>
          <w:lang w:val="en-GB"/>
        </w:rPr>
      </w:pPr>
    </w:p>
    <w:p w14:paraId="60AB8CEA" w14:textId="6258BAC6" w:rsidR="003A0CFF" w:rsidRPr="00843AE0" w:rsidRDefault="003A0CFF" w:rsidP="00E942D7">
      <w:pPr>
        <w:spacing w:after="0" w:line="240" w:lineRule="auto"/>
        <w:rPr>
          <w:b/>
          <w:iCs/>
          <w:lang w:val="en-GB"/>
        </w:rPr>
      </w:pPr>
      <w:r w:rsidRPr="00843AE0">
        <w:rPr>
          <w:rFonts w:cstheme="minorHAnsi"/>
          <w:b/>
          <w:iCs/>
          <w:lang w:val="en-GB"/>
        </w:rPr>
        <w:t xml:space="preserve">IV) </w:t>
      </w:r>
      <w:r w:rsidR="003C5F4E" w:rsidRPr="00843AE0">
        <w:rPr>
          <w:rFonts w:eastAsia="Times New Roman" w:cstheme="minorHAnsi"/>
          <w:b/>
          <w:noProof/>
          <w:lang w:val="en-GB" w:eastAsia="en-GB"/>
        </w:rPr>
        <w:t>- Any electricity used in the projects is of green origin (such as using RES-e) or based on green PPAs.</w:t>
      </w:r>
    </w:p>
    <w:p w14:paraId="577BA104" w14:textId="3CDD0593" w:rsidR="00441D10" w:rsidRPr="00AB423F" w:rsidRDefault="00441D10" w:rsidP="00E942D7">
      <w:pPr>
        <w:spacing w:after="0" w:line="240" w:lineRule="auto"/>
        <w:rPr>
          <w:b/>
          <w:iCs/>
          <w:lang w:val="en-GB"/>
        </w:rPr>
      </w:pPr>
    </w:p>
    <w:p w14:paraId="5F4A12DB" w14:textId="08D2BD9F" w:rsidR="00D61340" w:rsidRPr="00843AE0" w:rsidRDefault="005C280F" w:rsidP="00063C08">
      <w:pPr>
        <w:overflowPunct w:val="0"/>
        <w:spacing w:line="100" w:lineRule="atLeast"/>
        <w:jc w:val="both"/>
        <w:rPr>
          <w:rFonts w:cstheme="minorHAnsi"/>
          <w:snapToGrid w:val="0"/>
          <w:lang w:val="en-GB"/>
        </w:rPr>
      </w:pPr>
      <w:r w:rsidRPr="00843AE0">
        <w:rPr>
          <w:rFonts w:eastAsia="Times New Roman" w:cstheme="minorHAnsi"/>
          <w:bCs/>
          <w:noProof/>
          <w:lang w:val="en-GB" w:eastAsia="en-GB"/>
        </w:rPr>
        <w:t xml:space="preserve">A question on whether the electricity used in the projects for the production of hydrogen is of green origin or based on green PPAs was included in the template for the DNSH assessment provided to applicants. </w:t>
      </w:r>
      <w:r w:rsidR="00E920EF" w:rsidRPr="00843AE0">
        <w:rPr>
          <w:rFonts w:eastAsia="Times New Roman" w:cstheme="minorHAnsi"/>
          <w:bCs/>
          <w:noProof/>
          <w:lang w:val="en-GB" w:eastAsia="en-GB"/>
        </w:rPr>
        <w:t xml:space="preserve">The applicants </w:t>
      </w:r>
      <w:r w:rsidR="001E05B6" w:rsidRPr="00843AE0">
        <w:rPr>
          <w:rFonts w:eastAsia="Times New Roman" w:cstheme="minorHAnsi"/>
          <w:bCs/>
          <w:noProof/>
          <w:lang w:val="en-GB" w:eastAsia="en-GB"/>
        </w:rPr>
        <w:t xml:space="preserve">indicated that all electricty that will be used in the production of hydrogen will be of green origin. </w:t>
      </w:r>
      <w:r w:rsidR="004F40C2" w:rsidRPr="00843AE0">
        <w:rPr>
          <w:rFonts w:eastAsia="Times New Roman" w:cstheme="minorHAnsi"/>
          <w:bCs/>
          <w:noProof/>
          <w:lang w:val="en-GB" w:eastAsia="en-GB"/>
        </w:rPr>
        <w:t>Consequently, this requirement was imposed as a condition in the grant award as part of the general condition that</w:t>
      </w:r>
      <w:r w:rsidR="004F40C2" w:rsidRPr="00843AE0">
        <w:rPr>
          <w:rFonts w:cstheme="minorHAnsi"/>
          <w:snapToGrid w:val="0"/>
          <w:lang w:val="en-GB"/>
        </w:rPr>
        <w:t xml:space="preserve"> DNSH-conditions have to be met by the projects at all times. </w:t>
      </w:r>
      <w:r w:rsidR="00063C08" w:rsidRPr="00843AE0">
        <w:rPr>
          <w:rFonts w:cstheme="minorHAnsi"/>
          <w:snapToGrid w:val="0"/>
          <w:lang w:val="en-GB"/>
        </w:rPr>
        <w:t>In addition, a requirement is imposed that all relevant supporting documents showing that the DNSH conditions are respected must be added to the reports on the projects. ( e.g. power purchase agreements,…</w:t>
      </w:r>
      <w:r w:rsidR="004F40C2" w:rsidRPr="00843AE0">
        <w:rPr>
          <w:rFonts w:cstheme="minorHAnsi"/>
          <w:snapToGrid w:val="0"/>
          <w:lang w:val="en-GB"/>
        </w:rPr>
        <w:t xml:space="preserve"> </w:t>
      </w:r>
      <w:r w:rsidR="00063C08" w:rsidRPr="00843AE0">
        <w:rPr>
          <w:rFonts w:cstheme="minorHAnsi"/>
          <w:snapToGrid w:val="0"/>
          <w:lang w:val="en-GB"/>
        </w:rPr>
        <w:t>)</w:t>
      </w:r>
    </w:p>
    <w:sectPr w:rsidR="00D61340" w:rsidRPr="00843AE0" w:rsidSect="00EA7BF2">
      <w:footerReference w:type="default" r:id="rId1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98FFD" w14:textId="77777777" w:rsidR="00EA7BF2" w:rsidRDefault="00EA7BF2" w:rsidP="00BA4423">
      <w:pPr>
        <w:spacing w:after="0" w:line="240" w:lineRule="auto"/>
      </w:pPr>
      <w:r>
        <w:separator/>
      </w:r>
    </w:p>
  </w:endnote>
  <w:endnote w:type="continuationSeparator" w:id="0">
    <w:p w14:paraId="441DA5CA" w14:textId="77777777" w:rsidR="00EA7BF2" w:rsidRDefault="00EA7BF2" w:rsidP="00BA44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landersArtSans-Light">
    <w:panose1 w:val="00000400000000000000"/>
    <w:charset w:val="00"/>
    <w:family w:val="auto"/>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8995824"/>
      <w:docPartObj>
        <w:docPartGallery w:val="Page Numbers (Bottom of Page)"/>
        <w:docPartUnique/>
      </w:docPartObj>
    </w:sdtPr>
    <w:sdtEndPr/>
    <w:sdtContent>
      <w:p w14:paraId="54F4AACA" w14:textId="0FC3A48B" w:rsidR="001B4792" w:rsidRDefault="001B4792">
        <w:pPr>
          <w:pStyle w:val="Voettekst"/>
          <w:jc w:val="right"/>
        </w:pPr>
        <w:r>
          <w:fldChar w:fldCharType="begin"/>
        </w:r>
        <w:r>
          <w:instrText>PAGE   \* MERGEFORMAT</w:instrText>
        </w:r>
        <w:r>
          <w:fldChar w:fldCharType="separate"/>
        </w:r>
        <w:r>
          <w:rPr>
            <w:lang w:val="nl-NL"/>
          </w:rPr>
          <w:t>2</w:t>
        </w:r>
        <w:r>
          <w:fldChar w:fldCharType="end"/>
        </w:r>
      </w:p>
    </w:sdtContent>
  </w:sdt>
  <w:p w14:paraId="2E91466A" w14:textId="77777777" w:rsidR="001B4792" w:rsidRDefault="001B479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98D26" w14:textId="77777777" w:rsidR="00EA7BF2" w:rsidRDefault="00EA7BF2" w:rsidP="00BA4423">
      <w:pPr>
        <w:spacing w:after="0" w:line="240" w:lineRule="auto"/>
      </w:pPr>
      <w:r>
        <w:separator/>
      </w:r>
    </w:p>
  </w:footnote>
  <w:footnote w:type="continuationSeparator" w:id="0">
    <w:p w14:paraId="71D7B229" w14:textId="77777777" w:rsidR="00EA7BF2" w:rsidRDefault="00EA7BF2" w:rsidP="00BA44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438DC"/>
    <w:multiLevelType w:val="hybridMultilevel"/>
    <w:tmpl w:val="3F528E5E"/>
    <w:lvl w:ilvl="0" w:tplc="0813000F">
      <w:start w:val="1"/>
      <w:numFmt w:val="decimal"/>
      <w:lvlText w:val="%1."/>
      <w:lvlJc w:val="left"/>
      <w:pPr>
        <w:ind w:left="3600" w:hanging="360"/>
      </w:pPr>
    </w:lvl>
    <w:lvl w:ilvl="1" w:tplc="08130019" w:tentative="1">
      <w:start w:val="1"/>
      <w:numFmt w:val="lowerLetter"/>
      <w:lvlText w:val="%2."/>
      <w:lvlJc w:val="left"/>
      <w:pPr>
        <w:ind w:left="4320" w:hanging="360"/>
      </w:pPr>
    </w:lvl>
    <w:lvl w:ilvl="2" w:tplc="0813001B" w:tentative="1">
      <w:start w:val="1"/>
      <w:numFmt w:val="lowerRoman"/>
      <w:lvlText w:val="%3."/>
      <w:lvlJc w:val="right"/>
      <w:pPr>
        <w:ind w:left="5040" w:hanging="180"/>
      </w:pPr>
    </w:lvl>
    <w:lvl w:ilvl="3" w:tplc="0813000F" w:tentative="1">
      <w:start w:val="1"/>
      <w:numFmt w:val="decimal"/>
      <w:lvlText w:val="%4."/>
      <w:lvlJc w:val="left"/>
      <w:pPr>
        <w:ind w:left="5760" w:hanging="360"/>
      </w:pPr>
    </w:lvl>
    <w:lvl w:ilvl="4" w:tplc="08130019" w:tentative="1">
      <w:start w:val="1"/>
      <w:numFmt w:val="lowerLetter"/>
      <w:lvlText w:val="%5."/>
      <w:lvlJc w:val="left"/>
      <w:pPr>
        <w:ind w:left="6480" w:hanging="360"/>
      </w:pPr>
    </w:lvl>
    <w:lvl w:ilvl="5" w:tplc="0813001B" w:tentative="1">
      <w:start w:val="1"/>
      <w:numFmt w:val="lowerRoman"/>
      <w:lvlText w:val="%6."/>
      <w:lvlJc w:val="right"/>
      <w:pPr>
        <w:ind w:left="7200" w:hanging="180"/>
      </w:pPr>
    </w:lvl>
    <w:lvl w:ilvl="6" w:tplc="0813000F" w:tentative="1">
      <w:start w:val="1"/>
      <w:numFmt w:val="decimal"/>
      <w:lvlText w:val="%7."/>
      <w:lvlJc w:val="left"/>
      <w:pPr>
        <w:ind w:left="7920" w:hanging="360"/>
      </w:pPr>
    </w:lvl>
    <w:lvl w:ilvl="7" w:tplc="08130019" w:tentative="1">
      <w:start w:val="1"/>
      <w:numFmt w:val="lowerLetter"/>
      <w:lvlText w:val="%8."/>
      <w:lvlJc w:val="left"/>
      <w:pPr>
        <w:ind w:left="8640" w:hanging="360"/>
      </w:pPr>
    </w:lvl>
    <w:lvl w:ilvl="8" w:tplc="0813001B" w:tentative="1">
      <w:start w:val="1"/>
      <w:numFmt w:val="lowerRoman"/>
      <w:lvlText w:val="%9."/>
      <w:lvlJc w:val="right"/>
      <w:pPr>
        <w:ind w:left="9360" w:hanging="180"/>
      </w:pPr>
    </w:lvl>
  </w:abstractNum>
  <w:abstractNum w:abstractNumId="1" w15:restartNumberingAfterBreak="0">
    <w:nsid w:val="04E0319E"/>
    <w:multiLevelType w:val="hybridMultilevel"/>
    <w:tmpl w:val="91BECAB2"/>
    <w:lvl w:ilvl="0" w:tplc="7C50A40A">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 w15:restartNumberingAfterBreak="0">
    <w:nsid w:val="13CC33BE"/>
    <w:multiLevelType w:val="hybridMultilevel"/>
    <w:tmpl w:val="8A98958A"/>
    <w:lvl w:ilvl="0" w:tplc="0813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A74E43"/>
    <w:multiLevelType w:val="hybridMultilevel"/>
    <w:tmpl w:val="672EAD8E"/>
    <w:lvl w:ilvl="0" w:tplc="0813000F">
      <w:start w:val="3"/>
      <w:numFmt w:val="decimal"/>
      <w:lvlText w:val="%1."/>
      <w:lvlJc w:val="left"/>
      <w:pPr>
        <w:ind w:left="360" w:hanging="360"/>
      </w:pPr>
      <w:rPr>
        <w:rFonts w:hint="default"/>
      </w:r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4" w15:restartNumberingAfterBreak="0">
    <w:nsid w:val="173B6BA7"/>
    <w:multiLevelType w:val="hybridMultilevel"/>
    <w:tmpl w:val="38465B66"/>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A54CD1"/>
    <w:multiLevelType w:val="hybridMultilevel"/>
    <w:tmpl w:val="619C25C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1C1F0E4F"/>
    <w:multiLevelType w:val="hybridMultilevel"/>
    <w:tmpl w:val="E5069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333542"/>
    <w:multiLevelType w:val="hybridMultilevel"/>
    <w:tmpl w:val="7A520DF0"/>
    <w:lvl w:ilvl="0" w:tplc="ED1036AA">
      <w:start w:val="1"/>
      <w:numFmt w:val="upperLetter"/>
      <w:lvlText w:val="%1&gt;"/>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33644C9F"/>
    <w:multiLevelType w:val="hybridMultilevel"/>
    <w:tmpl w:val="5E6CA97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3E50391F"/>
    <w:multiLevelType w:val="hybridMultilevel"/>
    <w:tmpl w:val="0D1C5F1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15:restartNumberingAfterBreak="0">
    <w:nsid w:val="44564D34"/>
    <w:multiLevelType w:val="hybridMultilevel"/>
    <w:tmpl w:val="C79E87EE"/>
    <w:lvl w:ilvl="0" w:tplc="238ABCE8">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449141A1"/>
    <w:multiLevelType w:val="hybridMultilevel"/>
    <w:tmpl w:val="D64A70D4"/>
    <w:lvl w:ilvl="0" w:tplc="0813000F">
      <w:start w:val="1"/>
      <w:numFmt w:val="decimal"/>
      <w:lvlText w:val="%1."/>
      <w:lvlJc w:val="left"/>
      <w:pPr>
        <w:ind w:left="360" w:hanging="360"/>
      </w:pPr>
      <w:rPr>
        <w:rFonts w:hint="default"/>
      </w:rPr>
    </w:lvl>
    <w:lvl w:ilvl="1" w:tplc="08130019">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12" w15:restartNumberingAfterBreak="0">
    <w:nsid w:val="4E2F29D8"/>
    <w:multiLevelType w:val="hybridMultilevel"/>
    <w:tmpl w:val="16C63032"/>
    <w:lvl w:ilvl="0" w:tplc="08130017">
      <w:start w:val="1"/>
      <w:numFmt w:val="lowerLetter"/>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3" w15:restartNumberingAfterBreak="0">
    <w:nsid w:val="544228E9"/>
    <w:multiLevelType w:val="hybridMultilevel"/>
    <w:tmpl w:val="0AE8D51A"/>
    <w:lvl w:ilvl="0" w:tplc="877E56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3535E9"/>
    <w:multiLevelType w:val="hybridMultilevel"/>
    <w:tmpl w:val="EE4CA0F4"/>
    <w:lvl w:ilvl="0" w:tplc="8A263F88">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60C11B13"/>
    <w:multiLevelType w:val="hybridMultilevel"/>
    <w:tmpl w:val="D5E699A0"/>
    <w:lvl w:ilvl="0" w:tplc="0813000F">
      <w:start w:val="1"/>
      <w:numFmt w:val="decimal"/>
      <w:lvlText w:val="%1."/>
      <w:lvlJc w:val="left"/>
      <w:pPr>
        <w:ind w:left="3600" w:hanging="360"/>
      </w:pPr>
    </w:lvl>
    <w:lvl w:ilvl="1" w:tplc="08130019" w:tentative="1">
      <w:start w:val="1"/>
      <w:numFmt w:val="lowerLetter"/>
      <w:lvlText w:val="%2."/>
      <w:lvlJc w:val="left"/>
      <w:pPr>
        <w:ind w:left="4320" w:hanging="360"/>
      </w:pPr>
    </w:lvl>
    <w:lvl w:ilvl="2" w:tplc="0813001B" w:tentative="1">
      <w:start w:val="1"/>
      <w:numFmt w:val="lowerRoman"/>
      <w:lvlText w:val="%3."/>
      <w:lvlJc w:val="right"/>
      <w:pPr>
        <w:ind w:left="5040" w:hanging="180"/>
      </w:pPr>
    </w:lvl>
    <w:lvl w:ilvl="3" w:tplc="0813000F" w:tentative="1">
      <w:start w:val="1"/>
      <w:numFmt w:val="decimal"/>
      <w:lvlText w:val="%4."/>
      <w:lvlJc w:val="left"/>
      <w:pPr>
        <w:ind w:left="5760" w:hanging="360"/>
      </w:pPr>
    </w:lvl>
    <w:lvl w:ilvl="4" w:tplc="08130019" w:tentative="1">
      <w:start w:val="1"/>
      <w:numFmt w:val="lowerLetter"/>
      <w:lvlText w:val="%5."/>
      <w:lvlJc w:val="left"/>
      <w:pPr>
        <w:ind w:left="6480" w:hanging="360"/>
      </w:pPr>
    </w:lvl>
    <w:lvl w:ilvl="5" w:tplc="0813001B" w:tentative="1">
      <w:start w:val="1"/>
      <w:numFmt w:val="lowerRoman"/>
      <w:lvlText w:val="%6."/>
      <w:lvlJc w:val="right"/>
      <w:pPr>
        <w:ind w:left="7200" w:hanging="180"/>
      </w:pPr>
    </w:lvl>
    <w:lvl w:ilvl="6" w:tplc="0813000F" w:tentative="1">
      <w:start w:val="1"/>
      <w:numFmt w:val="decimal"/>
      <w:lvlText w:val="%7."/>
      <w:lvlJc w:val="left"/>
      <w:pPr>
        <w:ind w:left="7920" w:hanging="360"/>
      </w:pPr>
    </w:lvl>
    <w:lvl w:ilvl="7" w:tplc="08130019" w:tentative="1">
      <w:start w:val="1"/>
      <w:numFmt w:val="lowerLetter"/>
      <w:lvlText w:val="%8."/>
      <w:lvlJc w:val="left"/>
      <w:pPr>
        <w:ind w:left="8640" w:hanging="360"/>
      </w:pPr>
    </w:lvl>
    <w:lvl w:ilvl="8" w:tplc="0813001B" w:tentative="1">
      <w:start w:val="1"/>
      <w:numFmt w:val="lowerRoman"/>
      <w:lvlText w:val="%9."/>
      <w:lvlJc w:val="right"/>
      <w:pPr>
        <w:ind w:left="9360" w:hanging="180"/>
      </w:pPr>
    </w:lvl>
  </w:abstractNum>
  <w:abstractNum w:abstractNumId="16" w15:restartNumberingAfterBreak="0">
    <w:nsid w:val="62B04AD9"/>
    <w:multiLevelType w:val="hybridMultilevel"/>
    <w:tmpl w:val="40C647E6"/>
    <w:lvl w:ilvl="0" w:tplc="8D4C0DC2">
      <w:start w:val="1"/>
      <w:numFmt w:val="decimal"/>
      <w:lvlText w:val="%1."/>
      <w:lvlJc w:val="left"/>
      <w:pPr>
        <w:ind w:left="360" w:hanging="360"/>
      </w:pPr>
      <w:rPr>
        <w:rFonts w:ascii="Calibri" w:eastAsia="Calibri" w:hAnsi="Calibri" w:cs="Calibri" w:hint="default"/>
        <w:b w:val="0"/>
        <w:u w:val="none"/>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15:restartNumberingAfterBreak="0">
    <w:nsid w:val="75EE6C53"/>
    <w:multiLevelType w:val="hybridMultilevel"/>
    <w:tmpl w:val="F8C8AD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026710031">
    <w:abstractNumId w:val="16"/>
  </w:num>
  <w:num w:numId="2" w16cid:durableId="676888329">
    <w:abstractNumId w:val="14"/>
  </w:num>
  <w:num w:numId="3" w16cid:durableId="381445351">
    <w:abstractNumId w:val="7"/>
  </w:num>
  <w:num w:numId="4" w16cid:durableId="1737968216">
    <w:abstractNumId w:val="10"/>
  </w:num>
  <w:num w:numId="5" w16cid:durableId="2076775502">
    <w:abstractNumId w:val="17"/>
  </w:num>
  <w:num w:numId="6" w16cid:durableId="1256329064">
    <w:abstractNumId w:val="13"/>
  </w:num>
  <w:num w:numId="7" w16cid:durableId="2107186931">
    <w:abstractNumId w:val="6"/>
  </w:num>
  <w:num w:numId="8" w16cid:durableId="1994288527">
    <w:abstractNumId w:val="4"/>
  </w:num>
  <w:num w:numId="9" w16cid:durableId="173229030">
    <w:abstractNumId w:val="5"/>
  </w:num>
  <w:num w:numId="10" w16cid:durableId="1994751591">
    <w:abstractNumId w:val="2"/>
  </w:num>
  <w:num w:numId="11" w16cid:durableId="494928231">
    <w:abstractNumId w:val="0"/>
  </w:num>
  <w:num w:numId="12" w16cid:durableId="1719695030">
    <w:abstractNumId w:val="15"/>
  </w:num>
  <w:num w:numId="13" w16cid:durableId="147408355">
    <w:abstractNumId w:val="8"/>
  </w:num>
  <w:num w:numId="14" w16cid:durableId="1834566935">
    <w:abstractNumId w:val="9"/>
  </w:num>
  <w:num w:numId="15" w16cid:durableId="1521894148">
    <w:abstractNumId w:val="11"/>
  </w:num>
  <w:num w:numId="16" w16cid:durableId="1408917601">
    <w:abstractNumId w:val="3"/>
  </w:num>
  <w:num w:numId="17" w16cid:durableId="678851510">
    <w:abstractNumId w:val="12"/>
  </w:num>
  <w:num w:numId="18" w16cid:durableId="1622032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IE" w:vendorID="64" w:dllVersion="6" w:nlCheck="1" w:checkStyle="1"/>
  <w:activeWritingStyle w:appName="MSWord" w:lang="en-GB" w:vendorID="64" w:dllVersion="6" w:nlCheck="1" w:checkStyle="1"/>
  <w:activeWritingStyle w:appName="MSWord" w:lang="es-ES" w:vendorID="64" w:dllVersion="6" w:nlCheck="1" w:checkStyle="0"/>
  <w:activeWritingStyle w:appName="MSWord" w:lang="nl-BE" w:vendorID="64" w:dllVersion="0" w:nlCheck="1" w:checkStyle="0"/>
  <w:activeWritingStyle w:appName="MSWord" w:lang="en-GB" w:vendorID="64" w:dllVersion="0" w:nlCheck="1" w:checkStyle="0"/>
  <w:activeWritingStyle w:appName="MSWord" w:lang="es-ES" w:vendorID="64" w:dllVersion="0" w:nlCheck="1" w:checkStyle="0"/>
  <w:activeWritingStyle w:appName="MSWord" w:lang="en-US" w:vendorID="64" w:dllVersion="0" w:nlCheck="1" w:checkStyle="0"/>
  <w:activeWritingStyle w:appName="MSWord" w:lang="nl-NL"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724C6"/>
    <w:rsid w:val="00002017"/>
    <w:rsid w:val="0001774D"/>
    <w:rsid w:val="00020931"/>
    <w:rsid w:val="0002331B"/>
    <w:rsid w:val="00024512"/>
    <w:rsid w:val="0002527A"/>
    <w:rsid w:val="00027879"/>
    <w:rsid w:val="0003118B"/>
    <w:rsid w:val="00034686"/>
    <w:rsid w:val="00036BB0"/>
    <w:rsid w:val="0004288F"/>
    <w:rsid w:val="000449AC"/>
    <w:rsid w:val="00056D07"/>
    <w:rsid w:val="00056D29"/>
    <w:rsid w:val="00063C08"/>
    <w:rsid w:val="0006733F"/>
    <w:rsid w:val="00071247"/>
    <w:rsid w:val="00074EF2"/>
    <w:rsid w:val="00075FE0"/>
    <w:rsid w:val="00080C97"/>
    <w:rsid w:val="000867DA"/>
    <w:rsid w:val="0008C852"/>
    <w:rsid w:val="00091250"/>
    <w:rsid w:val="000A53B8"/>
    <w:rsid w:val="000B01FF"/>
    <w:rsid w:val="000B073A"/>
    <w:rsid w:val="000C0C20"/>
    <w:rsid w:val="000C3DAC"/>
    <w:rsid w:val="000C44FB"/>
    <w:rsid w:val="000C5F63"/>
    <w:rsid w:val="000D1193"/>
    <w:rsid w:val="000D3C21"/>
    <w:rsid w:val="000D532B"/>
    <w:rsid w:val="000D5804"/>
    <w:rsid w:val="000D60B7"/>
    <w:rsid w:val="000D6D75"/>
    <w:rsid w:val="000E1BDF"/>
    <w:rsid w:val="000E2BC1"/>
    <w:rsid w:val="000E52FA"/>
    <w:rsid w:val="000E687D"/>
    <w:rsid w:val="000F7A81"/>
    <w:rsid w:val="001000E8"/>
    <w:rsid w:val="00134757"/>
    <w:rsid w:val="0013491F"/>
    <w:rsid w:val="001408BE"/>
    <w:rsid w:val="0014362A"/>
    <w:rsid w:val="001576BD"/>
    <w:rsid w:val="00161E84"/>
    <w:rsid w:val="00164859"/>
    <w:rsid w:val="00164C9F"/>
    <w:rsid w:val="001661FC"/>
    <w:rsid w:val="0016628B"/>
    <w:rsid w:val="00166D6F"/>
    <w:rsid w:val="00170E4C"/>
    <w:rsid w:val="001710A1"/>
    <w:rsid w:val="00186E36"/>
    <w:rsid w:val="00193254"/>
    <w:rsid w:val="00193769"/>
    <w:rsid w:val="00196660"/>
    <w:rsid w:val="001A002D"/>
    <w:rsid w:val="001A704C"/>
    <w:rsid w:val="001A7877"/>
    <w:rsid w:val="001B4568"/>
    <w:rsid w:val="001B4779"/>
    <w:rsid w:val="001B4792"/>
    <w:rsid w:val="001C1920"/>
    <w:rsid w:val="001D03E8"/>
    <w:rsid w:val="001D0F45"/>
    <w:rsid w:val="001D2B4D"/>
    <w:rsid w:val="001D2F35"/>
    <w:rsid w:val="001D2FA2"/>
    <w:rsid w:val="001D4287"/>
    <w:rsid w:val="001D5951"/>
    <w:rsid w:val="001E05B6"/>
    <w:rsid w:val="001E1FA4"/>
    <w:rsid w:val="001E237D"/>
    <w:rsid w:val="001E35FE"/>
    <w:rsid w:val="001F1447"/>
    <w:rsid w:val="001F28A6"/>
    <w:rsid w:val="001F57ED"/>
    <w:rsid w:val="001F7410"/>
    <w:rsid w:val="00203A66"/>
    <w:rsid w:val="00212D8D"/>
    <w:rsid w:val="002134A9"/>
    <w:rsid w:val="00214E76"/>
    <w:rsid w:val="00220B01"/>
    <w:rsid w:val="00225BAD"/>
    <w:rsid w:val="002301B5"/>
    <w:rsid w:val="00234114"/>
    <w:rsid w:val="0024358E"/>
    <w:rsid w:val="002509BE"/>
    <w:rsid w:val="002553E7"/>
    <w:rsid w:val="002575D3"/>
    <w:rsid w:val="00261EF5"/>
    <w:rsid w:val="0026729D"/>
    <w:rsid w:val="00270772"/>
    <w:rsid w:val="00275FC1"/>
    <w:rsid w:val="00280503"/>
    <w:rsid w:val="00281FCB"/>
    <w:rsid w:val="0028426C"/>
    <w:rsid w:val="00290B40"/>
    <w:rsid w:val="00291228"/>
    <w:rsid w:val="00297677"/>
    <w:rsid w:val="002A0C74"/>
    <w:rsid w:val="002A2F3A"/>
    <w:rsid w:val="002A691B"/>
    <w:rsid w:val="002A7510"/>
    <w:rsid w:val="002B2C14"/>
    <w:rsid w:val="002B40F1"/>
    <w:rsid w:val="002B5D77"/>
    <w:rsid w:val="002C2A71"/>
    <w:rsid w:val="002C56C0"/>
    <w:rsid w:val="002C6F52"/>
    <w:rsid w:val="002D6393"/>
    <w:rsid w:val="002E11D1"/>
    <w:rsid w:val="002E5160"/>
    <w:rsid w:val="002E743A"/>
    <w:rsid w:val="002F346A"/>
    <w:rsid w:val="002F5437"/>
    <w:rsid w:val="00303863"/>
    <w:rsid w:val="00306201"/>
    <w:rsid w:val="003106F5"/>
    <w:rsid w:val="00310EA1"/>
    <w:rsid w:val="00320C0A"/>
    <w:rsid w:val="00327B31"/>
    <w:rsid w:val="00330164"/>
    <w:rsid w:val="00330845"/>
    <w:rsid w:val="00331E81"/>
    <w:rsid w:val="00333664"/>
    <w:rsid w:val="0033528F"/>
    <w:rsid w:val="00335301"/>
    <w:rsid w:val="0033652E"/>
    <w:rsid w:val="00343BEA"/>
    <w:rsid w:val="003447F3"/>
    <w:rsid w:val="00346D49"/>
    <w:rsid w:val="00350CD7"/>
    <w:rsid w:val="00361ECA"/>
    <w:rsid w:val="00366BF9"/>
    <w:rsid w:val="0036703E"/>
    <w:rsid w:val="003674F2"/>
    <w:rsid w:val="00370852"/>
    <w:rsid w:val="003724C6"/>
    <w:rsid w:val="00374786"/>
    <w:rsid w:val="00383573"/>
    <w:rsid w:val="003A0CFF"/>
    <w:rsid w:val="003A5C80"/>
    <w:rsid w:val="003A7CE9"/>
    <w:rsid w:val="003B0DDA"/>
    <w:rsid w:val="003B6583"/>
    <w:rsid w:val="003C1255"/>
    <w:rsid w:val="003C5F4E"/>
    <w:rsid w:val="003D0E98"/>
    <w:rsid w:val="003D13EA"/>
    <w:rsid w:val="003D5B2A"/>
    <w:rsid w:val="003E34CC"/>
    <w:rsid w:val="0040374B"/>
    <w:rsid w:val="00414059"/>
    <w:rsid w:val="0042127B"/>
    <w:rsid w:val="004260F7"/>
    <w:rsid w:val="0043040A"/>
    <w:rsid w:val="004318D4"/>
    <w:rsid w:val="00441D10"/>
    <w:rsid w:val="00451E84"/>
    <w:rsid w:val="00454E32"/>
    <w:rsid w:val="0046039A"/>
    <w:rsid w:val="00466DB2"/>
    <w:rsid w:val="0046771A"/>
    <w:rsid w:val="00471CF0"/>
    <w:rsid w:val="00473E94"/>
    <w:rsid w:val="0047423E"/>
    <w:rsid w:val="00476445"/>
    <w:rsid w:val="00482582"/>
    <w:rsid w:val="004946FB"/>
    <w:rsid w:val="004A1DDA"/>
    <w:rsid w:val="004A214C"/>
    <w:rsid w:val="004A6FD2"/>
    <w:rsid w:val="004B0E70"/>
    <w:rsid w:val="004B17A1"/>
    <w:rsid w:val="004B243E"/>
    <w:rsid w:val="004B7584"/>
    <w:rsid w:val="004D05C9"/>
    <w:rsid w:val="004D725D"/>
    <w:rsid w:val="004E1052"/>
    <w:rsid w:val="004F35DB"/>
    <w:rsid w:val="004F40C2"/>
    <w:rsid w:val="004F7DCD"/>
    <w:rsid w:val="005004D0"/>
    <w:rsid w:val="00503310"/>
    <w:rsid w:val="0050390A"/>
    <w:rsid w:val="0050545A"/>
    <w:rsid w:val="00507FB0"/>
    <w:rsid w:val="005115B7"/>
    <w:rsid w:val="00511C85"/>
    <w:rsid w:val="005141E7"/>
    <w:rsid w:val="00521618"/>
    <w:rsid w:val="005231AC"/>
    <w:rsid w:val="00526608"/>
    <w:rsid w:val="00527944"/>
    <w:rsid w:val="00543ECF"/>
    <w:rsid w:val="00547D3B"/>
    <w:rsid w:val="00562D5F"/>
    <w:rsid w:val="00563DE5"/>
    <w:rsid w:val="00567679"/>
    <w:rsid w:val="00571B04"/>
    <w:rsid w:val="00571B81"/>
    <w:rsid w:val="0057538D"/>
    <w:rsid w:val="005763C3"/>
    <w:rsid w:val="00590667"/>
    <w:rsid w:val="00594731"/>
    <w:rsid w:val="005A2355"/>
    <w:rsid w:val="005A6AB3"/>
    <w:rsid w:val="005B0294"/>
    <w:rsid w:val="005B0B19"/>
    <w:rsid w:val="005B11DC"/>
    <w:rsid w:val="005B4D0F"/>
    <w:rsid w:val="005B62D9"/>
    <w:rsid w:val="005C280F"/>
    <w:rsid w:val="005C520E"/>
    <w:rsid w:val="005C6BE9"/>
    <w:rsid w:val="005D3C01"/>
    <w:rsid w:val="005E51D2"/>
    <w:rsid w:val="005E6EE9"/>
    <w:rsid w:val="005F2E9C"/>
    <w:rsid w:val="006010F2"/>
    <w:rsid w:val="006043A8"/>
    <w:rsid w:val="00611702"/>
    <w:rsid w:val="006333A2"/>
    <w:rsid w:val="00635E7A"/>
    <w:rsid w:val="00643C7D"/>
    <w:rsid w:val="00644513"/>
    <w:rsid w:val="00646337"/>
    <w:rsid w:val="00652D8E"/>
    <w:rsid w:val="00670E21"/>
    <w:rsid w:val="006718AA"/>
    <w:rsid w:val="00672340"/>
    <w:rsid w:val="0067441D"/>
    <w:rsid w:val="00680F49"/>
    <w:rsid w:val="00681928"/>
    <w:rsid w:val="006819E7"/>
    <w:rsid w:val="00685CD4"/>
    <w:rsid w:val="006A5266"/>
    <w:rsid w:val="006A5ADB"/>
    <w:rsid w:val="006B1907"/>
    <w:rsid w:val="006C7630"/>
    <w:rsid w:val="006D0906"/>
    <w:rsid w:val="006D1507"/>
    <w:rsid w:val="006D194A"/>
    <w:rsid w:val="006D68DF"/>
    <w:rsid w:val="006E3748"/>
    <w:rsid w:val="006F0C77"/>
    <w:rsid w:val="006F506D"/>
    <w:rsid w:val="00712440"/>
    <w:rsid w:val="007211E2"/>
    <w:rsid w:val="007249FD"/>
    <w:rsid w:val="007263E3"/>
    <w:rsid w:val="007264B8"/>
    <w:rsid w:val="00732338"/>
    <w:rsid w:val="007364A0"/>
    <w:rsid w:val="00736586"/>
    <w:rsid w:val="00741DBD"/>
    <w:rsid w:val="00742BA1"/>
    <w:rsid w:val="00746427"/>
    <w:rsid w:val="00757733"/>
    <w:rsid w:val="00760D82"/>
    <w:rsid w:val="0076508F"/>
    <w:rsid w:val="007768B1"/>
    <w:rsid w:val="00776C36"/>
    <w:rsid w:val="0079650F"/>
    <w:rsid w:val="007A34FC"/>
    <w:rsid w:val="007A3761"/>
    <w:rsid w:val="007A4015"/>
    <w:rsid w:val="007A5889"/>
    <w:rsid w:val="007B3818"/>
    <w:rsid w:val="007C766D"/>
    <w:rsid w:val="007D4111"/>
    <w:rsid w:val="007D45DE"/>
    <w:rsid w:val="007D65A0"/>
    <w:rsid w:val="007D7DC3"/>
    <w:rsid w:val="007E06C7"/>
    <w:rsid w:val="007E1DAE"/>
    <w:rsid w:val="007E4274"/>
    <w:rsid w:val="007E7ED7"/>
    <w:rsid w:val="007F14A7"/>
    <w:rsid w:val="007F27DD"/>
    <w:rsid w:val="007F4AE8"/>
    <w:rsid w:val="0080428E"/>
    <w:rsid w:val="00807735"/>
    <w:rsid w:val="00811C0C"/>
    <w:rsid w:val="008124C1"/>
    <w:rsid w:val="00812F33"/>
    <w:rsid w:val="00814C4C"/>
    <w:rsid w:val="00817213"/>
    <w:rsid w:val="00817243"/>
    <w:rsid w:val="00821035"/>
    <w:rsid w:val="00826B1C"/>
    <w:rsid w:val="0082745F"/>
    <w:rsid w:val="00830D4C"/>
    <w:rsid w:val="00830DED"/>
    <w:rsid w:val="00834139"/>
    <w:rsid w:val="00843AE0"/>
    <w:rsid w:val="00846B49"/>
    <w:rsid w:val="0085078E"/>
    <w:rsid w:val="00851AAB"/>
    <w:rsid w:val="0086127B"/>
    <w:rsid w:val="00865DC5"/>
    <w:rsid w:val="008678FE"/>
    <w:rsid w:val="00872F7E"/>
    <w:rsid w:val="00886854"/>
    <w:rsid w:val="00890233"/>
    <w:rsid w:val="0089205F"/>
    <w:rsid w:val="00892A67"/>
    <w:rsid w:val="008A2B26"/>
    <w:rsid w:val="008B1058"/>
    <w:rsid w:val="008B41DE"/>
    <w:rsid w:val="008C0C09"/>
    <w:rsid w:val="008D1407"/>
    <w:rsid w:val="008F00BA"/>
    <w:rsid w:val="008F167F"/>
    <w:rsid w:val="008F21DE"/>
    <w:rsid w:val="009012EE"/>
    <w:rsid w:val="00906885"/>
    <w:rsid w:val="00911367"/>
    <w:rsid w:val="0091192A"/>
    <w:rsid w:val="00913518"/>
    <w:rsid w:val="00917DF5"/>
    <w:rsid w:val="0092069A"/>
    <w:rsid w:val="00920C19"/>
    <w:rsid w:val="00921DCA"/>
    <w:rsid w:val="00925352"/>
    <w:rsid w:val="00926D80"/>
    <w:rsid w:val="009305AC"/>
    <w:rsid w:val="009308F0"/>
    <w:rsid w:val="00932406"/>
    <w:rsid w:val="00932F8D"/>
    <w:rsid w:val="00934F59"/>
    <w:rsid w:val="009605D5"/>
    <w:rsid w:val="009657EA"/>
    <w:rsid w:val="00966C98"/>
    <w:rsid w:val="00966F44"/>
    <w:rsid w:val="00974329"/>
    <w:rsid w:val="00976573"/>
    <w:rsid w:val="009770B9"/>
    <w:rsid w:val="00983F10"/>
    <w:rsid w:val="0098424A"/>
    <w:rsid w:val="00985E9C"/>
    <w:rsid w:val="00990BF4"/>
    <w:rsid w:val="009929FD"/>
    <w:rsid w:val="00992F0E"/>
    <w:rsid w:val="00993EB9"/>
    <w:rsid w:val="00995A94"/>
    <w:rsid w:val="0099699C"/>
    <w:rsid w:val="009A0B77"/>
    <w:rsid w:val="009A0C66"/>
    <w:rsid w:val="009A30FD"/>
    <w:rsid w:val="009A444D"/>
    <w:rsid w:val="009A5B73"/>
    <w:rsid w:val="009B17AC"/>
    <w:rsid w:val="009B29C0"/>
    <w:rsid w:val="009B501B"/>
    <w:rsid w:val="009B78C6"/>
    <w:rsid w:val="009C1B25"/>
    <w:rsid w:val="009C74E1"/>
    <w:rsid w:val="009D1A93"/>
    <w:rsid w:val="009E0C3C"/>
    <w:rsid w:val="009E2B09"/>
    <w:rsid w:val="009E3807"/>
    <w:rsid w:val="009E457F"/>
    <w:rsid w:val="009E618E"/>
    <w:rsid w:val="009F07EA"/>
    <w:rsid w:val="009F1A47"/>
    <w:rsid w:val="00A05091"/>
    <w:rsid w:val="00A12BB8"/>
    <w:rsid w:val="00A17F65"/>
    <w:rsid w:val="00A21298"/>
    <w:rsid w:val="00A27071"/>
    <w:rsid w:val="00A319D0"/>
    <w:rsid w:val="00A4034A"/>
    <w:rsid w:val="00A40937"/>
    <w:rsid w:val="00A42120"/>
    <w:rsid w:val="00A52647"/>
    <w:rsid w:val="00A5580A"/>
    <w:rsid w:val="00A56572"/>
    <w:rsid w:val="00A602CE"/>
    <w:rsid w:val="00A643A9"/>
    <w:rsid w:val="00A66D5E"/>
    <w:rsid w:val="00A71260"/>
    <w:rsid w:val="00A74B26"/>
    <w:rsid w:val="00A7746D"/>
    <w:rsid w:val="00A842A6"/>
    <w:rsid w:val="00A84D3A"/>
    <w:rsid w:val="00A85126"/>
    <w:rsid w:val="00A90F63"/>
    <w:rsid w:val="00A96BB8"/>
    <w:rsid w:val="00AA3290"/>
    <w:rsid w:val="00AA6877"/>
    <w:rsid w:val="00AA757D"/>
    <w:rsid w:val="00AB423F"/>
    <w:rsid w:val="00AC1CA8"/>
    <w:rsid w:val="00AC3E78"/>
    <w:rsid w:val="00AC44FF"/>
    <w:rsid w:val="00AC58C3"/>
    <w:rsid w:val="00AD0F74"/>
    <w:rsid w:val="00AD242F"/>
    <w:rsid w:val="00AD658A"/>
    <w:rsid w:val="00AE1A06"/>
    <w:rsid w:val="00AE5A63"/>
    <w:rsid w:val="00AF273B"/>
    <w:rsid w:val="00B11786"/>
    <w:rsid w:val="00B1209B"/>
    <w:rsid w:val="00B17EBD"/>
    <w:rsid w:val="00B22E73"/>
    <w:rsid w:val="00B258F1"/>
    <w:rsid w:val="00B25985"/>
    <w:rsid w:val="00B33F95"/>
    <w:rsid w:val="00B35776"/>
    <w:rsid w:val="00B3595C"/>
    <w:rsid w:val="00B35CE3"/>
    <w:rsid w:val="00B43DA7"/>
    <w:rsid w:val="00B43DEB"/>
    <w:rsid w:val="00B50A8A"/>
    <w:rsid w:val="00B50AEB"/>
    <w:rsid w:val="00B51C8C"/>
    <w:rsid w:val="00B5501B"/>
    <w:rsid w:val="00B64069"/>
    <w:rsid w:val="00B714E3"/>
    <w:rsid w:val="00B723E7"/>
    <w:rsid w:val="00B73B90"/>
    <w:rsid w:val="00B77568"/>
    <w:rsid w:val="00B77960"/>
    <w:rsid w:val="00B82CD4"/>
    <w:rsid w:val="00B8407A"/>
    <w:rsid w:val="00B924F3"/>
    <w:rsid w:val="00B9610D"/>
    <w:rsid w:val="00B979E9"/>
    <w:rsid w:val="00BA21FA"/>
    <w:rsid w:val="00BA4423"/>
    <w:rsid w:val="00BB0C38"/>
    <w:rsid w:val="00BB50DD"/>
    <w:rsid w:val="00BC4A93"/>
    <w:rsid w:val="00BD2A73"/>
    <w:rsid w:val="00BD486A"/>
    <w:rsid w:val="00BE5A63"/>
    <w:rsid w:val="00BE6BF3"/>
    <w:rsid w:val="00BE7324"/>
    <w:rsid w:val="00BF07B2"/>
    <w:rsid w:val="00BF132E"/>
    <w:rsid w:val="00BF7585"/>
    <w:rsid w:val="00C07AC1"/>
    <w:rsid w:val="00C112D9"/>
    <w:rsid w:val="00C1264D"/>
    <w:rsid w:val="00C132DB"/>
    <w:rsid w:val="00C17981"/>
    <w:rsid w:val="00C21FE3"/>
    <w:rsid w:val="00C30FD8"/>
    <w:rsid w:val="00C34033"/>
    <w:rsid w:val="00C3500B"/>
    <w:rsid w:val="00C375E1"/>
    <w:rsid w:val="00C5425C"/>
    <w:rsid w:val="00C55095"/>
    <w:rsid w:val="00C5735E"/>
    <w:rsid w:val="00C60D8C"/>
    <w:rsid w:val="00C62729"/>
    <w:rsid w:val="00C6370D"/>
    <w:rsid w:val="00C65BEB"/>
    <w:rsid w:val="00C6688E"/>
    <w:rsid w:val="00C70576"/>
    <w:rsid w:val="00C8066D"/>
    <w:rsid w:val="00C82BB8"/>
    <w:rsid w:val="00C8384B"/>
    <w:rsid w:val="00C84217"/>
    <w:rsid w:val="00C86D48"/>
    <w:rsid w:val="00C91643"/>
    <w:rsid w:val="00C92689"/>
    <w:rsid w:val="00C960B5"/>
    <w:rsid w:val="00CA0A5D"/>
    <w:rsid w:val="00CA457C"/>
    <w:rsid w:val="00CB5E08"/>
    <w:rsid w:val="00CC037B"/>
    <w:rsid w:val="00CC7696"/>
    <w:rsid w:val="00CD352C"/>
    <w:rsid w:val="00CD3F1D"/>
    <w:rsid w:val="00CD4ACD"/>
    <w:rsid w:val="00CE0141"/>
    <w:rsid w:val="00CE564B"/>
    <w:rsid w:val="00CF1AD0"/>
    <w:rsid w:val="00CF63D9"/>
    <w:rsid w:val="00D001BA"/>
    <w:rsid w:val="00D005FB"/>
    <w:rsid w:val="00D01D01"/>
    <w:rsid w:val="00D02961"/>
    <w:rsid w:val="00D037F3"/>
    <w:rsid w:val="00D05C76"/>
    <w:rsid w:val="00D0792C"/>
    <w:rsid w:val="00D1125B"/>
    <w:rsid w:val="00D11787"/>
    <w:rsid w:val="00D21064"/>
    <w:rsid w:val="00D22A23"/>
    <w:rsid w:val="00D2332D"/>
    <w:rsid w:val="00D2550D"/>
    <w:rsid w:val="00D25CE3"/>
    <w:rsid w:val="00D35E64"/>
    <w:rsid w:val="00D37680"/>
    <w:rsid w:val="00D47B0A"/>
    <w:rsid w:val="00D50314"/>
    <w:rsid w:val="00D50C73"/>
    <w:rsid w:val="00D55111"/>
    <w:rsid w:val="00D61340"/>
    <w:rsid w:val="00D64CC0"/>
    <w:rsid w:val="00D655BF"/>
    <w:rsid w:val="00D65FD8"/>
    <w:rsid w:val="00D71855"/>
    <w:rsid w:val="00D73432"/>
    <w:rsid w:val="00D820EC"/>
    <w:rsid w:val="00D849BA"/>
    <w:rsid w:val="00D85EEA"/>
    <w:rsid w:val="00D87DF7"/>
    <w:rsid w:val="00D90771"/>
    <w:rsid w:val="00D9274D"/>
    <w:rsid w:val="00D94E76"/>
    <w:rsid w:val="00DA0269"/>
    <w:rsid w:val="00DA45F0"/>
    <w:rsid w:val="00DA7C65"/>
    <w:rsid w:val="00DB3910"/>
    <w:rsid w:val="00DB3CB8"/>
    <w:rsid w:val="00DB5E45"/>
    <w:rsid w:val="00DC03E1"/>
    <w:rsid w:val="00DC534E"/>
    <w:rsid w:val="00DC55AA"/>
    <w:rsid w:val="00DD0B70"/>
    <w:rsid w:val="00DD0D8B"/>
    <w:rsid w:val="00DD13AD"/>
    <w:rsid w:val="00DD1D2C"/>
    <w:rsid w:val="00DD3865"/>
    <w:rsid w:val="00DE5A5D"/>
    <w:rsid w:val="00DE7533"/>
    <w:rsid w:val="00DF3CF4"/>
    <w:rsid w:val="00DF7355"/>
    <w:rsid w:val="00DF7924"/>
    <w:rsid w:val="00DF7DBC"/>
    <w:rsid w:val="00E03108"/>
    <w:rsid w:val="00E03C91"/>
    <w:rsid w:val="00E16C70"/>
    <w:rsid w:val="00E314FF"/>
    <w:rsid w:val="00E343EF"/>
    <w:rsid w:val="00E36279"/>
    <w:rsid w:val="00E418C9"/>
    <w:rsid w:val="00E44478"/>
    <w:rsid w:val="00E444DD"/>
    <w:rsid w:val="00E51BAF"/>
    <w:rsid w:val="00E54B11"/>
    <w:rsid w:val="00E61DEF"/>
    <w:rsid w:val="00E64507"/>
    <w:rsid w:val="00E65A85"/>
    <w:rsid w:val="00E8109B"/>
    <w:rsid w:val="00E8228E"/>
    <w:rsid w:val="00E835D9"/>
    <w:rsid w:val="00E85C1B"/>
    <w:rsid w:val="00E87651"/>
    <w:rsid w:val="00E91C94"/>
    <w:rsid w:val="00E920EF"/>
    <w:rsid w:val="00E9413F"/>
    <w:rsid w:val="00E942D7"/>
    <w:rsid w:val="00EA46AE"/>
    <w:rsid w:val="00EA4C86"/>
    <w:rsid w:val="00EA65EC"/>
    <w:rsid w:val="00EA7624"/>
    <w:rsid w:val="00EA7BF2"/>
    <w:rsid w:val="00EB217B"/>
    <w:rsid w:val="00EC20F7"/>
    <w:rsid w:val="00EC3B0C"/>
    <w:rsid w:val="00EC6ECB"/>
    <w:rsid w:val="00ED3D6E"/>
    <w:rsid w:val="00ED5F0C"/>
    <w:rsid w:val="00ED7A07"/>
    <w:rsid w:val="00EE5246"/>
    <w:rsid w:val="00EE7B53"/>
    <w:rsid w:val="00EF697F"/>
    <w:rsid w:val="00EF6F8A"/>
    <w:rsid w:val="00F01E77"/>
    <w:rsid w:val="00F021B0"/>
    <w:rsid w:val="00F12379"/>
    <w:rsid w:val="00F15971"/>
    <w:rsid w:val="00F21E94"/>
    <w:rsid w:val="00F22936"/>
    <w:rsid w:val="00F26602"/>
    <w:rsid w:val="00F33491"/>
    <w:rsid w:val="00F36138"/>
    <w:rsid w:val="00F40B55"/>
    <w:rsid w:val="00F420C9"/>
    <w:rsid w:val="00F4354F"/>
    <w:rsid w:val="00F56CDA"/>
    <w:rsid w:val="00F60359"/>
    <w:rsid w:val="00F62E52"/>
    <w:rsid w:val="00F640C8"/>
    <w:rsid w:val="00F64487"/>
    <w:rsid w:val="00F706BA"/>
    <w:rsid w:val="00F73A83"/>
    <w:rsid w:val="00F7462A"/>
    <w:rsid w:val="00F80573"/>
    <w:rsid w:val="00F8771B"/>
    <w:rsid w:val="00F91B2C"/>
    <w:rsid w:val="00F941A9"/>
    <w:rsid w:val="00F94F26"/>
    <w:rsid w:val="00F9518A"/>
    <w:rsid w:val="00F9622A"/>
    <w:rsid w:val="00F970FE"/>
    <w:rsid w:val="00FA0878"/>
    <w:rsid w:val="00FA2D8B"/>
    <w:rsid w:val="00FA4EB9"/>
    <w:rsid w:val="00FA5153"/>
    <w:rsid w:val="00FA5B52"/>
    <w:rsid w:val="00FA7CB4"/>
    <w:rsid w:val="00FB3C48"/>
    <w:rsid w:val="00FB438A"/>
    <w:rsid w:val="00FB6104"/>
    <w:rsid w:val="00FC0142"/>
    <w:rsid w:val="00FC314E"/>
    <w:rsid w:val="00FC36A2"/>
    <w:rsid w:val="00FC3A51"/>
    <w:rsid w:val="00FC4BDD"/>
    <w:rsid w:val="00FD2E9F"/>
    <w:rsid w:val="00FE3A60"/>
    <w:rsid w:val="00FE6EE3"/>
    <w:rsid w:val="00FF1D06"/>
    <w:rsid w:val="00FF37DB"/>
    <w:rsid w:val="014D2453"/>
    <w:rsid w:val="04B9D5BC"/>
    <w:rsid w:val="04C9CAED"/>
    <w:rsid w:val="04DFB94E"/>
    <w:rsid w:val="0503A84C"/>
    <w:rsid w:val="0541476E"/>
    <w:rsid w:val="05DAE6BC"/>
    <w:rsid w:val="0654772D"/>
    <w:rsid w:val="06E2A4B9"/>
    <w:rsid w:val="082DE222"/>
    <w:rsid w:val="09503D76"/>
    <w:rsid w:val="098D46DF"/>
    <w:rsid w:val="0C0FE71B"/>
    <w:rsid w:val="0DCAE3E8"/>
    <w:rsid w:val="0E1E3D71"/>
    <w:rsid w:val="107FEA7C"/>
    <w:rsid w:val="110FED9B"/>
    <w:rsid w:val="1247BE9E"/>
    <w:rsid w:val="12F1AE94"/>
    <w:rsid w:val="1878C035"/>
    <w:rsid w:val="1B472890"/>
    <w:rsid w:val="1D38FA44"/>
    <w:rsid w:val="1D3CF034"/>
    <w:rsid w:val="1E6D59C1"/>
    <w:rsid w:val="1FB7093F"/>
    <w:rsid w:val="2163660E"/>
    <w:rsid w:val="21B2D23A"/>
    <w:rsid w:val="2243A73B"/>
    <w:rsid w:val="22DF0E5E"/>
    <w:rsid w:val="24B6A4D2"/>
    <w:rsid w:val="257E3D55"/>
    <w:rsid w:val="2688F1DC"/>
    <w:rsid w:val="271834B8"/>
    <w:rsid w:val="27DFEA60"/>
    <w:rsid w:val="28A48F81"/>
    <w:rsid w:val="29A70C68"/>
    <w:rsid w:val="29B4A2C8"/>
    <w:rsid w:val="2A51AE78"/>
    <w:rsid w:val="2A5753F4"/>
    <w:rsid w:val="2B028110"/>
    <w:rsid w:val="2D017ADD"/>
    <w:rsid w:val="2E1D72BE"/>
    <w:rsid w:val="2F8868EB"/>
    <w:rsid w:val="306D9673"/>
    <w:rsid w:val="314B5932"/>
    <w:rsid w:val="32EA47EB"/>
    <w:rsid w:val="33506730"/>
    <w:rsid w:val="33798721"/>
    <w:rsid w:val="35094D0F"/>
    <w:rsid w:val="3552B2A7"/>
    <w:rsid w:val="363F63DE"/>
    <w:rsid w:val="367017FF"/>
    <w:rsid w:val="36AC4C42"/>
    <w:rsid w:val="36D61D3E"/>
    <w:rsid w:val="381BD7A6"/>
    <w:rsid w:val="3CDE2119"/>
    <w:rsid w:val="3E173D44"/>
    <w:rsid w:val="3F25F7E2"/>
    <w:rsid w:val="3FA9465F"/>
    <w:rsid w:val="408BA7C3"/>
    <w:rsid w:val="408F6FCD"/>
    <w:rsid w:val="40E14CA9"/>
    <w:rsid w:val="414516C0"/>
    <w:rsid w:val="41B1AE5C"/>
    <w:rsid w:val="43B10F31"/>
    <w:rsid w:val="43EC8F01"/>
    <w:rsid w:val="446E145C"/>
    <w:rsid w:val="448049A6"/>
    <w:rsid w:val="47F40EF8"/>
    <w:rsid w:val="488DBBB0"/>
    <w:rsid w:val="4A62302F"/>
    <w:rsid w:val="4B1370CD"/>
    <w:rsid w:val="4D635C28"/>
    <w:rsid w:val="4D686B97"/>
    <w:rsid w:val="4DC0BA3F"/>
    <w:rsid w:val="4E8D0CA3"/>
    <w:rsid w:val="50374236"/>
    <w:rsid w:val="50A36E4D"/>
    <w:rsid w:val="52C10641"/>
    <w:rsid w:val="537F79E9"/>
    <w:rsid w:val="53DB6CC7"/>
    <w:rsid w:val="547EB736"/>
    <w:rsid w:val="54C49319"/>
    <w:rsid w:val="550B955F"/>
    <w:rsid w:val="55D433C4"/>
    <w:rsid w:val="56153358"/>
    <w:rsid w:val="5B234869"/>
    <w:rsid w:val="631531F1"/>
    <w:rsid w:val="6369EC40"/>
    <w:rsid w:val="64112BCD"/>
    <w:rsid w:val="65B2092F"/>
    <w:rsid w:val="66F07C74"/>
    <w:rsid w:val="67E8A314"/>
    <w:rsid w:val="6A68BF9B"/>
    <w:rsid w:val="6A77C231"/>
    <w:rsid w:val="6DCBCDFE"/>
    <w:rsid w:val="6F240379"/>
    <w:rsid w:val="70CE39D9"/>
    <w:rsid w:val="722901BA"/>
    <w:rsid w:val="75B1ED48"/>
    <w:rsid w:val="76577BBF"/>
    <w:rsid w:val="77245300"/>
    <w:rsid w:val="77A8F85C"/>
    <w:rsid w:val="78627B28"/>
    <w:rsid w:val="79F73F14"/>
    <w:rsid w:val="7A732F50"/>
    <w:rsid w:val="7D2DCA43"/>
    <w:rsid w:val="7FE535A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A84342"/>
  <w15:chartTrackingRefBased/>
  <w15:docId w15:val="{D6C0908F-A5EF-40A8-99A6-35A0F7E69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F506D"/>
  </w:style>
  <w:style w:type="paragraph" w:styleId="Kop5">
    <w:name w:val="heading 5"/>
    <w:basedOn w:val="Standaard"/>
    <w:next w:val="Standaard"/>
    <w:link w:val="Kop5Char"/>
    <w:uiPriority w:val="9"/>
    <w:semiHidden/>
    <w:unhideWhenUsed/>
    <w:qFormat/>
    <w:rsid w:val="0059473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3724C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aliases w:val="Bullet List,FooterText,Task Body,Viñetas (Inicio Parrafo),3 Txt tabla,Zerrenda-paragrafoa,Lista multicolor - Énfasis 11,Lista viñetas,1st level - Bullet List Paragraph,Lettre d'introduction,Bullets_normal,Bullet point,List1,List11,4. Lists"/>
    <w:basedOn w:val="Standaard"/>
    <w:link w:val="LijstalineaChar"/>
    <w:uiPriority w:val="34"/>
    <w:qFormat/>
    <w:rsid w:val="003724C6"/>
    <w:pPr>
      <w:ind w:left="720"/>
      <w:contextualSpacing/>
    </w:pPr>
  </w:style>
  <w:style w:type="character" w:styleId="Hyperlink">
    <w:name w:val="Hyperlink"/>
    <w:basedOn w:val="Standaardalinea-lettertype"/>
    <w:uiPriority w:val="99"/>
    <w:unhideWhenUsed/>
    <w:rsid w:val="00851AAB"/>
    <w:rPr>
      <w:color w:val="0563C1" w:themeColor="hyperlink"/>
      <w:u w:val="single"/>
    </w:rPr>
  </w:style>
  <w:style w:type="character" w:customStyle="1" w:styleId="Kop5Char">
    <w:name w:val="Kop 5 Char"/>
    <w:basedOn w:val="Standaardalinea-lettertype"/>
    <w:link w:val="Kop5"/>
    <w:uiPriority w:val="9"/>
    <w:semiHidden/>
    <w:rsid w:val="00594731"/>
    <w:rPr>
      <w:rFonts w:asciiTheme="majorHAnsi" w:eastAsiaTheme="majorEastAsia" w:hAnsiTheme="majorHAnsi" w:cstheme="majorBidi"/>
      <w:color w:val="2E74B5" w:themeColor="accent1" w:themeShade="BF"/>
    </w:rPr>
  </w:style>
  <w:style w:type="paragraph" w:customStyle="1" w:styleId="Default">
    <w:name w:val="Default"/>
    <w:rsid w:val="006D68DF"/>
    <w:pPr>
      <w:autoSpaceDE w:val="0"/>
      <w:autoSpaceDN w:val="0"/>
      <w:adjustRightInd w:val="0"/>
      <w:spacing w:after="0" w:line="240" w:lineRule="auto"/>
    </w:pPr>
    <w:rPr>
      <w:rFonts w:ascii="Times New Roman" w:hAnsi="Times New Roman" w:cs="Times New Roman"/>
      <w:color w:val="000000"/>
      <w:sz w:val="24"/>
      <w:szCs w:val="24"/>
    </w:rPr>
  </w:style>
  <w:style w:type="paragraph" w:styleId="HTML-voorafopgemaakt">
    <w:name w:val="HTML Preformatted"/>
    <w:basedOn w:val="Standaard"/>
    <w:link w:val="HTML-voorafopgemaaktChar"/>
    <w:uiPriority w:val="99"/>
    <w:semiHidden/>
    <w:unhideWhenUsed/>
    <w:rsid w:val="004825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voorafopgemaaktChar">
    <w:name w:val="HTML - vooraf opgemaakt Char"/>
    <w:basedOn w:val="Standaardalinea-lettertype"/>
    <w:link w:val="HTML-voorafopgemaakt"/>
    <w:uiPriority w:val="99"/>
    <w:semiHidden/>
    <w:rsid w:val="00482582"/>
    <w:rPr>
      <w:rFonts w:ascii="Courier New" w:eastAsia="Times New Roman" w:hAnsi="Courier New" w:cs="Courier New"/>
      <w:sz w:val="20"/>
      <w:szCs w:val="20"/>
      <w:lang w:eastAsia="es-ES"/>
    </w:rPr>
  </w:style>
  <w:style w:type="character" w:customStyle="1" w:styleId="y2iqfc">
    <w:name w:val="y2iqfc"/>
    <w:basedOn w:val="Standaardalinea-lettertype"/>
    <w:rsid w:val="00482582"/>
  </w:style>
  <w:style w:type="character" w:styleId="Verwijzingopmerking">
    <w:name w:val="annotation reference"/>
    <w:basedOn w:val="Standaardalinea-lettertype"/>
    <w:uiPriority w:val="99"/>
    <w:semiHidden/>
    <w:unhideWhenUsed/>
    <w:rsid w:val="00C84217"/>
    <w:rPr>
      <w:sz w:val="16"/>
      <w:szCs w:val="16"/>
    </w:rPr>
  </w:style>
  <w:style w:type="paragraph" w:styleId="Tekstopmerking">
    <w:name w:val="annotation text"/>
    <w:basedOn w:val="Standaard"/>
    <w:link w:val="TekstopmerkingChar"/>
    <w:uiPriority w:val="99"/>
    <w:unhideWhenUsed/>
    <w:rsid w:val="00C84217"/>
    <w:pPr>
      <w:spacing w:line="240" w:lineRule="auto"/>
    </w:pPr>
    <w:rPr>
      <w:sz w:val="20"/>
      <w:szCs w:val="20"/>
    </w:rPr>
  </w:style>
  <w:style w:type="character" w:customStyle="1" w:styleId="TekstopmerkingChar">
    <w:name w:val="Tekst opmerking Char"/>
    <w:basedOn w:val="Standaardalinea-lettertype"/>
    <w:link w:val="Tekstopmerking"/>
    <w:uiPriority w:val="99"/>
    <w:rsid w:val="00C84217"/>
    <w:rPr>
      <w:sz w:val="20"/>
      <w:szCs w:val="20"/>
    </w:rPr>
  </w:style>
  <w:style w:type="paragraph" w:styleId="Onderwerpvanopmerking">
    <w:name w:val="annotation subject"/>
    <w:basedOn w:val="Tekstopmerking"/>
    <w:next w:val="Tekstopmerking"/>
    <w:link w:val="OnderwerpvanopmerkingChar"/>
    <w:uiPriority w:val="99"/>
    <w:semiHidden/>
    <w:unhideWhenUsed/>
    <w:rsid w:val="00C84217"/>
    <w:rPr>
      <w:b/>
      <w:bCs/>
    </w:rPr>
  </w:style>
  <w:style w:type="character" w:customStyle="1" w:styleId="OnderwerpvanopmerkingChar">
    <w:name w:val="Onderwerp van opmerking Char"/>
    <w:basedOn w:val="TekstopmerkingChar"/>
    <w:link w:val="Onderwerpvanopmerking"/>
    <w:uiPriority w:val="99"/>
    <w:semiHidden/>
    <w:rsid w:val="00C84217"/>
    <w:rPr>
      <w:b/>
      <w:bCs/>
      <w:sz w:val="20"/>
      <w:szCs w:val="20"/>
    </w:rPr>
  </w:style>
  <w:style w:type="paragraph" w:styleId="Ballontekst">
    <w:name w:val="Balloon Text"/>
    <w:basedOn w:val="Standaard"/>
    <w:link w:val="BallontekstChar"/>
    <w:uiPriority w:val="99"/>
    <w:semiHidden/>
    <w:unhideWhenUsed/>
    <w:rsid w:val="00C84217"/>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84217"/>
    <w:rPr>
      <w:rFonts w:ascii="Segoe UI" w:hAnsi="Segoe UI" w:cs="Segoe UI"/>
      <w:sz w:val="18"/>
      <w:szCs w:val="18"/>
    </w:rPr>
  </w:style>
  <w:style w:type="paragraph" w:styleId="Revisie">
    <w:name w:val="Revision"/>
    <w:hidden/>
    <w:uiPriority w:val="99"/>
    <w:semiHidden/>
    <w:rsid w:val="00212D8D"/>
    <w:pPr>
      <w:spacing w:after="0" w:line="240" w:lineRule="auto"/>
    </w:pPr>
  </w:style>
  <w:style w:type="paragraph" w:styleId="Voetnoottekst">
    <w:name w:val="footnote text"/>
    <w:aliases w:val="Schriftart: 9 pt,Schriftart: 10 pt,Schriftart: 8 pt,WB-Fußnotentext,FoodNote,ft,Footnote text,Footnote,Footnote Text Char1,Footnote Text Char Char,Footnote Text Char1 Char Char,Footnote Text Char Char Char Char,fn,Char"/>
    <w:basedOn w:val="Standaard"/>
    <w:link w:val="VoetnoottekstChar1"/>
    <w:uiPriority w:val="99"/>
    <w:unhideWhenUsed/>
    <w:rsid w:val="004E1052"/>
    <w:pPr>
      <w:spacing w:after="0" w:line="240" w:lineRule="auto"/>
      <w:ind w:left="720" w:hanging="720"/>
      <w:jc w:val="both"/>
    </w:pPr>
    <w:rPr>
      <w:rFonts w:ascii="Times New Roman" w:hAnsi="Times New Roman" w:cs="Times New Roman"/>
      <w:sz w:val="20"/>
      <w:szCs w:val="20"/>
      <w:lang w:val="en-GB"/>
    </w:rPr>
  </w:style>
  <w:style w:type="character" w:customStyle="1" w:styleId="VoetnoottekstChar">
    <w:name w:val="Voetnoottekst Char"/>
    <w:basedOn w:val="Standaardalinea-lettertype"/>
    <w:uiPriority w:val="99"/>
    <w:semiHidden/>
    <w:rsid w:val="004E1052"/>
    <w:rPr>
      <w:sz w:val="20"/>
      <w:szCs w:val="20"/>
    </w:rPr>
  </w:style>
  <w:style w:type="character" w:customStyle="1" w:styleId="VoetnoottekstChar1">
    <w:name w:val="Voetnoottekst Char1"/>
    <w:aliases w:val="Schriftart: 9 pt Char,Schriftart: 10 pt Char,Schriftart: 8 pt Char,WB-Fußnotentext Char,FoodNote Char,ft Char,Footnote text Char,Footnote Char,Footnote Text Char1 Char,Footnote Text Char Char Char,Footnote Text Char1 Char Char Char"/>
    <w:basedOn w:val="Standaardalinea-lettertype"/>
    <w:link w:val="Voetnoottekst"/>
    <w:uiPriority w:val="99"/>
    <w:rsid w:val="004E1052"/>
    <w:rPr>
      <w:rFonts w:ascii="Times New Roman" w:hAnsi="Times New Roman" w:cs="Times New Roman"/>
      <w:sz w:val="20"/>
      <w:szCs w:val="20"/>
      <w:lang w:val="en-GB"/>
    </w:rPr>
  </w:style>
  <w:style w:type="character" w:styleId="Voetnootmarkering">
    <w:name w:val="footnote reference"/>
    <w:aliases w:val="number,SUPERS,BVI fnr,Footnote symbol,Footnote symboFußnotenzeichen,Footnote sign,Footnote Reference Superscript,Footnote number,-E Fußnotenzeichen,EN Footnote Reference,-E Fuﬂnotenzeichen,-E Fuûnotenzeichen,stylish,(Footnote Referen"/>
    <w:basedOn w:val="Standaardalinea-lettertype"/>
    <w:link w:val="SUPERSChar"/>
    <w:uiPriority w:val="99"/>
    <w:unhideWhenUsed/>
    <w:qFormat/>
    <w:rsid w:val="004E1052"/>
    <w:rPr>
      <w:vertAlign w:val="superscript"/>
    </w:rPr>
  </w:style>
  <w:style w:type="paragraph" w:customStyle="1" w:styleId="Text1">
    <w:name w:val="Text 1"/>
    <w:basedOn w:val="Standaard"/>
    <w:rsid w:val="004E1052"/>
    <w:pPr>
      <w:spacing w:before="120" w:after="120" w:line="240" w:lineRule="auto"/>
      <w:ind w:left="850"/>
      <w:jc w:val="both"/>
    </w:pPr>
    <w:rPr>
      <w:rFonts w:ascii="Times New Roman" w:hAnsi="Times New Roman" w:cs="Times New Roman"/>
      <w:sz w:val="24"/>
      <w:lang w:val="en-GB"/>
    </w:rPr>
  </w:style>
  <w:style w:type="paragraph" w:customStyle="1" w:styleId="SUPERSChar">
    <w:name w:val="SUPERS Char"/>
    <w:aliases w:val="EN Footnote Reference Char"/>
    <w:basedOn w:val="Standaard"/>
    <w:link w:val="Voetnootmarkering"/>
    <w:uiPriority w:val="99"/>
    <w:rsid w:val="004E1052"/>
    <w:pPr>
      <w:widowControl w:val="0"/>
      <w:adjustRightInd w:val="0"/>
      <w:spacing w:line="240" w:lineRule="exact"/>
      <w:jc w:val="both"/>
    </w:pPr>
    <w:rPr>
      <w:vertAlign w:val="superscript"/>
    </w:rPr>
  </w:style>
  <w:style w:type="paragraph" w:styleId="Koptekst">
    <w:name w:val="header"/>
    <w:basedOn w:val="Standaard"/>
    <w:link w:val="KoptekstChar"/>
    <w:uiPriority w:val="99"/>
    <w:unhideWhenUsed/>
    <w:rsid w:val="001B479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B4792"/>
  </w:style>
  <w:style w:type="paragraph" w:styleId="Voettekst">
    <w:name w:val="footer"/>
    <w:basedOn w:val="Standaard"/>
    <w:link w:val="VoettekstChar"/>
    <w:uiPriority w:val="99"/>
    <w:unhideWhenUsed/>
    <w:rsid w:val="001B479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B4792"/>
  </w:style>
  <w:style w:type="character" w:customStyle="1" w:styleId="LijstalineaChar">
    <w:name w:val="Lijstalinea Char"/>
    <w:aliases w:val="Bullet List Char,FooterText Char,Task Body Char,Viñetas (Inicio Parrafo) Char,3 Txt tabla Char,Zerrenda-paragrafoa Char,Lista multicolor - Énfasis 11 Char,Lista viñetas Char,1st level - Bullet List Paragraph Char,Bullets_normal Char"/>
    <w:link w:val="Lijstalinea"/>
    <w:uiPriority w:val="34"/>
    <w:qFormat/>
    <w:locked/>
    <w:rsid w:val="00F229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19232">
      <w:bodyDiv w:val="1"/>
      <w:marLeft w:val="0"/>
      <w:marRight w:val="0"/>
      <w:marTop w:val="0"/>
      <w:marBottom w:val="0"/>
      <w:divBdr>
        <w:top w:val="none" w:sz="0" w:space="0" w:color="auto"/>
        <w:left w:val="none" w:sz="0" w:space="0" w:color="auto"/>
        <w:bottom w:val="none" w:sz="0" w:space="0" w:color="auto"/>
        <w:right w:val="none" w:sz="0" w:space="0" w:color="auto"/>
      </w:divBdr>
    </w:div>
    <w:div w:id="170722994">
      <w:bodyDiv w:val="1"/>
      <w:marLeft w:val="0"/>
      <w:marRight w:val="0"/>
      <w:marTop w:val="0"/>
      <w:marBottom w:val="0"/>
      <w:divBdr>
        <w:top w:val="none" w:sz="0" w:space="0" w:color="auto"/>
        <w:left w:val="none" w:sz="0" w:space="0" w:color="auto"/>
        <w:bottom w:val="none" w:sz="0" w:space="0" w:color="auto"/>
        <w:right w:val="none" w:sz="0" w:space="0" w:color="auto"/>
      </w:divBdr>
    </w:div>
    <w:div w:id="175928344">
      <w:bodyDiv w:val="1"/>
      <w:marLeft w:val="0"/>
      <w:marRight w:val="0"/>
      <w:marTop w:val="0"/>
      <w:marBottom w:val="0"/>
      <w:divBdr>
        <w:top w:val="none" w:sz="0" w:space="0" w:color="auto"/>
        <w:left w:val="none" w:sz="0" w:space="0" w:color="auto"/>
        <w:bottom w:val="none" w:sz="0" w:space="0" w:color="auto"/>
        <w:right w:val="none" w:sz="0" w:space="0" w:color="auto"/>
      </w:divBdr>
    </w:div>
    <w:div w:id="182594268">
      <w:bodyDiv w:val="1"/>
      <w:marLeft w:val="0"/>
      <w:marRight w:val="0"/>
      <w:marTop w:val="0"/>
      <w:marBottom w:val="0"/>
      <w:divBdr>
        <w:top w:val="none" w:sz="0" w:space="0" w:color="auto"/>
        <w:left w:val="none" w:sz="0" w:space="0" w:color="auto"/>
        <w:bottom w:val="none" w:sz="0" w:space="0" w:color="auto"/>
        <w:right w:val="none" w:sz="0" w:space="0" w:color="auto"/>
      </w:divBdr>
    </w:div>
    <w:div w:id="208491268">
      <w:bodyDiv w:val="1"/>
      <w:marLeft w:val="0"/>
      <w:marRight w:val="0"/>
      <w:marTop w:val="0"/>
      <w:marBottom w:val="0"/>
      <w:divBdr>
        <w:top w:val="none" w:sz="0" w:space="0" w:color="auto"/>
        <w:left w:val="none" w:sz="0" w:space="0" w:color="auto"/>
        <w:bottom w:val="none" w:sz="0" w:space="0" w:color="auto"/>
        <w:right w:val="none" w:sz="0" w:space="0" w:color="auto"/>
      </w:divBdr>
    </w:div>
    <w:div w:id="357853279">
      <w:bodyDiv w:val="1"/>
      <w:marLeft w:val="0"/>
      <w:marRight w:val="0"/>
      <w:marTop w:val="0"/>
      <w:marBottom w:val="0"/>
      <w:divBdr>
        <w:top w:val="none" w:sz="0" w:space="0" w:color="auto"/>
        <w:left w:val="none" w:sz="0" w:space="0" w:color="auto"/>
        <w:bottom w:val="none" w:sz="0" w:space="0" w:color="auto"/>
        <w:right w:val="none" w:sz="0" w:space="0" w:color="auto"/>
      </w:divBdr>
    </w:div>
    <w:div w:id="459081036">
      <w:bodyDiv w:val="1"/>
      <w:marLeft w:val="0"/>
      <w:marRight w:val="0"/>
      <w:marTop w:val="0"/>
      <w:marBottom w:val="0"/>
      <w:divBdr>
        <w:top w:val="none" w:sz="0" w:space="0" w:color="auto"/>
        <w:left w:val="none" w:sz="0" w:space="0" w:color="auto"/>
        <w:bottom w:val="none" w:sz="0" w:space="0" w:color="auto"/>
        <w:right w:val="none" w:sz="0" w:space="0" w:color="auto"/>
      </w:divBdr>
    </w:div>
    <w:div w:id="497766513">
      <w:bodyDiv w:val="1"/>
      <w:marLeft w:val="0"/>
      <w:marRight w:val="0"/>
      <w:marTop w:val="0"/>
      <w:marBottom w:val="0"/>
      <w:divBdr>
        <w:top w:val="none" w:sz="0" w:space="0" w:color="auto"/>
        <w:left w:val="none" w:sz="0" w:space="0" w:color="auto"/>
        <w:bottom w:val="none" w:sz="0" w:space="0" w:color="auto"/>
        <w:right w:val="none" w:sz="0" w:space="0" w:color="auto"/>
      </w:divBdr>
    </w:div>
    <w:div w:id="608196300">
      <w:bodyDiv w:val="1"/>
      <w:marLeft w:val="0"/>
      <w:marRight w:val="0"/>
      <w:marTop w:val="0"/>
      <w:marBottom w:val="0"/>
      <w:divBdr>
        <w:top w:val="none" w:sz="0" w:space="0" w:color="auto"/>
        <w:left w:val="none" w:sz="0" w:space="0" w:color="auto"/>
        <w:bottom w:val="none" w:sz="0" w:space="0" w:color="auto"/>
        <w:right w:val="none" w:sz="0" w:space="0" w:color="auto"/>
      </w:divBdr>
    </w:div>
    <w:div w:id="610354752">
      <w:bodyDiv w:val="1"/>
      <w:marLeft w:val="0"/>
      <w:marRight w:val="0"/>
      <w:marTop w:val="0"/>
      <w:marBottom w:val="0"/>
      <w:divBdr>
        <w:top w:val="none" w:sz="0" w:space="0" w:color="auto"/>
        <w:left w:val="none" w:sz="0" w:space="0" w:color="auto"/>
        <w:bottom w:val="none" w:sz="0" w:space="0" w:color="auto"/>
        <w:right w:val="none" w:sz="0" w:space="0" w:color="auto"/>
      </w:divBdr>
    </w:div>
    <w:div w:id="611208276">
      <w:bodyDiv w:val="1"/>
      <w:marLeft w:val="0"/>
      <w:marRight w:val="0"/>
      <w:marTop w:val="0"/>
      <w:marBottom w:val="0"/>
      <w:divBdr>
        <w:top w:val="none" w:sz="0" w:space="0" w:color="auto"/>
        <w:left w:val="none" w:sz="0" w:space="0" w:color="auto"/>
        <w:bottom w:val="none" w:sz="0" w:space="0" w:color="auto"/>
        <w:right w:val="none" w:sz="0" w:space="0" w:color="auto"/>
      </w:divBdr>
    </w:div>
    <w:div w:id="694111377">
      <w:bodyDiv w:val="1"/>
      <w:marLeft w:val="0"/>
      <w:marRight w:val="0"/>
      <w:marTop w:val="0"/>
      <w:marBottom w:val="0"/>
      <w:divBdr>
        <w:top w:val="none" w:sz="0" w:space="0" w:color="auto"/>
        <w:left w:val="none" w:sz="0" w:space="0" w:color="auto"/>
        <w:bottom w:val="none" w:sz="0" w:space="0" w:color="auto"/>
        <w:right w:val="none" w:sz="0" w:space="0" w:color="auto"/>
      </w:divBdr>
    </w:div>
    <w:div w:id="743529167">
      <w:bodyDiv w:val="1"/>
      <w:marLeft w:val="0"/>
      <w:marRight w:val="0"/>
      <w:marTop w:val="0"/>
      <w:marBottom w:val="0"/>
      <w:divBdr>
        <w:top w:val="none" w:sz="0" w:space="0" w:color="auto"/>
        <w:left w:val="none" w:sz="0" w:space="0" w:color="auto"/>
        <w:bottom w:val="none" w:sz="0" w:space="0" w:color="auto"/>
        <w:right w:val="none" w:sz="0" w:space="0" w:color="auto"/>
      </w:divBdr>
    </w:div>
    <w:div w:id="771583914">
      <w:bodyDiv w:val="1"/>
      <w:marLeft w:val="0"/>
      <w:marRight w:val="0"/>
      <w:marTop w:val="0"/>
      <w:marBottom w:val="0"/>
      <w:divBdr>
        <w:top w:val="none" w:sz="0" w:space="0" w:color="auto"/>
        <w:left w:val="none" w:sz="0" w:space="0" w:color="auto"/>
        <w:bottom w:val="none" w:sz="0" w:space="0" w:color="auto"/>
        <w:right w:val="none" w:sz="0" w:space="0" w:color="auto"/>
      </w:divBdr>
    </w:div>
    <w:div w:id="831289495">
      <w:bodyDiv w:val="1"/>
      <w:marLeft w:val="0"/>
      <w:marRight w:val="0"/>
      <w:marTop w:val="0"/>
      <w:marBottom w:val="0"/>
      <w:divBdr>
        <w:top w:val="none" w:sz="0" w:space="0" w:color="auto"/>
        <w:left w:val="none" w:sz="0" w:space="0" w:color="auto"/>
        <w:bottom w:val="none" w:sz="0" w:space="0" w:color="auto"/>
        <w:right w:val="none" w:sz="0" w:space="0" w:color="auto"/>
      </w:divBdr>
    </w:div>
    <w:div w:id="954598109">
      <w:bodyDiv w:val="1"/>
      <w:marLeft w:val="0"/>
      <w:marRight w:val="0"/>
      <w:marTop w:val="0"/>
      <w:marBottom w:val="0"/>
      <w:divBdr>
        <w:top w:val="none" w:sz="0" w:space="0" w:color="auto"/>
        <w:left w:val="none" w:sz="0" w:space="0" w:color="auto"/>
        <w:bottom w:val="none" w:sz="0" w:space="0" w:color="auto"/>
        <w:right w:val="none" w:sz="0" w:space="0" w:color="auto"/>
      </w:divBdr>
    </w:div>
    <w:div w:id="966660738">
      <w:bodyDiv w:val="1"/>
      <w:marLeft w:val="0"/>
      <w:marRight w:val="0"/>
      <w:marTop w:val="0"/>
      <w:marBottom w:val="0"/>
      <w:divBdr>
        <w:top w:val="none" w:sz="0" w:space="0" w:color="auto"/>
        <w:left w:val="none" w:sz="0" w:space="0" w:color="auto"/>
        <w:bottom w:val="none" w:sz="0" w:space="0" w:color="auto"/>
        <w:right w:val="none" w:sz="0" w:space="0" w:color="auto"/>
      </w:divBdr>
    </w:div>
    <w:div w:id="974917317">
      <w:bodyDiv w:val="1"/>
      <w:marLeft w:val="0"/>
      <w:marRight w:val="0"/>
      <w:marTop w:val="0"/>
      <w:marBottom w:val="0"/>
      <w:divBdr>
        <w:top w:val="none" w:sz="0" w:space="0" w:color="auto"/>
        <w:left w:val="none" w:sz="0" w:space="0" w:color="auto"/>
        <w:bottom w:val="none" w:sz="0" w:space="0" w:color="auto"/>
        <w:right w:val="none" w:sz="0" w:space="0" w:color="auto"/>
      </w:divBdr>
    </w:div>
    <w:div w:id="999892292">
      <w:bodyDiv w:val="1"/>
      <w:marLeft w:val="0"/>
      <w:marRight w:val="0"/>
      <w:marTop w:val="0"/>
      <w:marBottom w:val="0"/>
      <w:divBdr>
        <w:top w:val="none" w:sz="0" w:space="0" w:color="auto"/>
        <w:left w:val="none" w:sz="0" w:space="0" w:color="auto"/>
        <w:bottom w:val="none" w:sz="0" w:space="0" w:color="auto"/>
        <w:right w:val="none" w:sz="0" w:space="0" w:color="auto"/>
      </w:divBdr>
    </w:div>
    <w:div w:id="1089692050">
      <w:bodyDiv w:val="1"/>
      <w:marLeft w:val="0"/>
      <w:marRight w:val="0"/>
      <w:marTop w:val="0"/>
      <w:marBottom w:val="0"/>
      <w:divBdr>
        <w:top w:val="none" w:sz="0" w:space="0" w:color="auto"/>
        <w:left w:val="none" w:sz="0" w:space="0" w:color="auto"/>
        <w:bottom w:val="none" w:sz="0" w:space="0" w:color="auto"/>
        <w:right w:val="none" w:sz="0" w:space="0" w:color="auto"/>
      </w:divBdr>
    </w:div>
    <w:div w:id="1127511048">
      <w:bodyDiv w:val="1"/>
      <w:marLeft w:val="0"/>
      <w:marRight w:val="0"/>
      <w:marTop w:val="0"/>
      <w:marBottom w:val="0"/>
      <w:divBdr>
        <w:top w:val="none" w:sz="0" w:space="0" w:color="auto"/>
        <w:left w:val="none" w:sz="0" w:space="0" w:color="auto"/>
        <w:bottom w:val="none" w:sz="0" w:space="0" w:color="auto"/>
        <w:right w:val="none" w:sz="0" w:space="0" w:color="auto"/>
      </w:divBdr>
      <w:divsChild>
        <w:div w:id="1796564507">
          <w:marLeft w:val="0"/>
          <w:marRight w:val="0"/>
          <w:marTop w:val="0"/>
          <w:marBottom w:val="0"/>
          <w:divBdr>
            <w:top w:val="none" w:sz="0" w:space="0" w:color="auto"/>
            <w:left w:val="none" w:sz="0" w:space="0" w:color="auto"/>
            <w:bottom w:val="none" w:sz="0" w:space="0" w:color="auto"/>
            <w:right w:val="none" w:sz="0" w:space="0" w:color="auto"/>
          </w:divBdr>
        </w:div>
        <w:div w:id="961767723">
          <w:marLeft w:val="0"/>
          <w:marRight w:val="0"/>
          <w:marTop w:val="0"/>
          <w:marBottom w:val="0"/>
          <w:divBdr>
            <w:top w:val="none" w:sz="0" w:space="0" w:color="auto"/>
            <w:left w:val="none" w:sz="0" w:space="0" w:color="auto"/>
            <w:bottom w:val="none" w:sz="0" w:space="0" w:color="auto"/>
            <w:right w:val="none" w:sz="0" w:space="0" w:color="auto"/>
          </w:divBdr>
        </w:div>
      </w:divsChild>
    </w:div>
    <w:div w:id="1233925642">
      <w:bodyDiv w:val="1"/>
      <w:marLeft w:val="0"/>
      <w:marRight w:val="0"/>
      <w:marTop w:val="0"/>
      <w:marBottom w:val="0"/>
      <w:divBdr>
        <w:top w:val="none" w:sz="0" w:space="0" w:color="auto"/>
        <w:left w:val="none" w:sz="0" w:space="0" w:color="auto"/>
        <w:bottom w:val="none" w:sz="0" w:space="0" w:color="auto"/>
        <w:right w:val="none" w:sz="0" w:space="0" w:color="auto"/>
      </w:divBdr>
    </w:div>
    <w:div w:id="1271274775">
      <w:bodyDiv w:val="1"/>
      <w:marLeft w:val="0"/>
      <w:marRight w:val="0"/>
      <w:marTop w:val="0"/>
      <w:marBottom w:val="0"/>
      <w:divBdr>
        <w:top w:val="none" w:sz="0" w:space="0" w:color="auto"/>
        <w:left w:val="none" w:sz="0" w:space="0" w:color="auto"/>
        <w:bottom w:val="none" w:sz="0" w:space="0" w:color="auto"/>
        <w:right w:val="none" w:sz="0" w:space="0" w:color="auto"/>
      </w:divBdr>
    </w:div>
    <w:div w:id="1272980221">
      <w:bodyDiv w:val="1"/>
      <w:marLeft w:val="0"/>
      <w:marRight w:val="0"/>
      <w:marTop w:val="0"/>
      <w:marBottom w:val="0"/>
      <w:divBdr>
        <w:top w:val="none" w:sz="0" w:space="0" w:color="auto"/>
        <w:left w:val="none" w:sz="0" w:space="0" w:color="auto"/>
        <w:bottom w:val="none" w:sz="0" w:space="0" w:color="auto"/>
        <w:right w:val="none" w:sz="0" w:space="0" w:color="auto"/>
      </w:divBdr>
    </w:div>
    <w:div w:id="1321345803">
      <w:bodyDiv w:val="1"/>
      <w:marLeft w:val="0"/>
      <w:marRight w:val="0"/>
      <w:marTop w:val="0"/>
      <w:marBottom w:val="0"/>
      <w:divBdr>
        <w:top w:val="none" w:sz="0" w:space="0" w:color="auto"/>
        <w:left w:val="none" w:sz="0" w:space="0" w:color="auto"/>
        <w:bottom w:val="none" w:sz="0" w:space="0" w:color="auto"/>
        <w:right w:val="none" w:sz="0" w:space="0" w:color="auto"/>
      </w:divBdr>
    </w:div>
    <w:div w:id="1407462466">
      <w:bodyDiv w:val="1"/>
      <w:marLeft w:val="0"/>
      <w:marRight w:val="0"/>
      <w:marTop w:val="0"/>
      <w:marBottom w:val="0"/>
      <w:divBdr>
        <w:top w:val="none" w:sz="0" w:space="0" w:color="auto"/>
        <w:left w:val="none" w:sz="0" w:space="0" w:color="auto"/>
        <w:bottom w:val="none" w:sz="0" w:space="0" w:color="auto"/>
        <w:right w:val="none" w:sz="0" w:space="0" w:color="auto"/>
      </w:divBdr>
    </w:div>
    <w:div w:id="1471746711">
      <w:bodyDiv w:val="1"/>
      <w:marLeft w:val="0"/>
      <w:marRight w:val="0"/>
      <w:marTop w:val="0"/>
      <w:marBottom w:val="0"/>
      <w:divBdr>
        <w:top w:val="none" w:sz="0" w:space="0" w:color="auto"/>
        <w:left w:val="none" w:sz="0" w:space="0" w:color="auto"/>
        <w:bottom w:val="none" w:sz="0" w:space="0" w:color="auto"/>
        <w:right w:val="none" w:sz="0" w:space="0" w:color="auto"/>
      </w:divBdr>
    </w:div>
    <w:div w:id="1563713356">
      <w:bodyDiv w:val="1"/>
      <w:marLeft w:val="0"/>
      <w:marRight w:val="0"/>
      <w:marTop w:val="0"/>
      <w:marBottom w:val="0"/>
      <w:divBdr>
        <w:top w:val="none" w:sz="0" w:space="0" w:color="auto"/>
        <w:left w:val="none" w:sz="0" w:space="0" w:color="auto"/>
        <w:bottom w:val="none" w:sz="0" w:space="0" w:color="auto"/>
        <w:right w:val="none" w:sz="0" w:space="0" w:color="auto"/>
      </w:divBdr>
    </w:div>
    <w:div w:id="1618683999">
      <w:bodyDiv w:val="1"/>
      <w:marLeft w:val="0"/>
      <w:marRight w:val="0"/>
      <w:marTop w:val="0"/>
      <w:marBottom w:val="0"/>
      <w:divBdr>
        <w:top w:val="none" w:sz="0" w:space="0" w:color="auto"/>
        <w:left w:val="none" w:sz="0" w:space="0" w:color="auto"/>
        <w:bottom w:val="none" w:sz="0" w:space="0" w:color="auto"/>
        <w:right w:val="none" w:sz="0" w:space="0" w:color="auto"/>
      </w:divBdr>
    </w:div>
    <w:div w:id="1837719277">
      <w:bodyDiv w:val="1"/>
      <w:marLeft w:val="0"/>
      <w:marRight w:val="0"/>
      <w:marTop w:val="0"/>
      <w:marBottom w:val="0"/>
      <w:divBdr>
        <w:top w:val="none" w:sz="0" w:space="0" w:color="auto"/>
        <w:left w:val="none" w:sz="0" w:space="0" w:color="auto"/>
        <w:bottom w:val="none" w:sz="0" w:space="0" w:color="auto"/>
        <w:right w:val="none" w:sz="0" w:space="0" w:color="auto"/>
      </w:divBdr>
    </w:div>
    <w:div w:id="1947342367">
      <w:bodyDiv w:val="1"/>
      <w:marLeft w:val="0"/>
      <w:marRight w:val="0"/>
      <w:marTop w:val="0"/>
      <w:marBottom w:val="0"/>
      <w:divBdr>
        <w:top w:val="none" w:sz="0" w:space="0" w:color="auto"/>
        <w:left w:val="none" w:sz="0" w:space="0" w:color="auto"/>
        <w:bottom w:val="none" w:sz="0" w:space="0" w:color="auto"/>
        <w:right w:val="none" w:sz="0" w:space="0" w:color="auto"/>
      </w:divBdr>
    </w:div>
    <w:div w:id="1980259570">
      <w:bodyDiv w:val="1"/>
      <w:marLeft w:val="0"/>
      <w:marRight w:val="0"/>
      <w:marTop w:val="0"/>
      <w:marBottom w:val="0"/>
      <w:divBdr>
        <w:top w:val="none" w:sz="0" w:space="0" w:color="auto"/>
        <w:left w:val="none" w:sz="0" w:space="0" w:color="auto"/>
        <w:bottom w:val="none" w:sz="0" w:space="0" w:color="auto"/>
        <w:right w:val="none" w:sz="0" w:space="0" w:color="auto"/>
      </w:divBdr>
    </w:div>
    <w:div w:id="2132353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F6F826A1091A46B3A8DCAA4C60BA62" ma:contentTypeVersion="6" ma:contentTypeDescription="Een nieuw document maken." ma:contentTypeScope="" ma:versionID="67373e9f5243508478e7d12ddd12604d">
  <xsd:schema xmlns:xsd="http://www.w3.org/2001/XMLSchema" xmlns:xs="http://www.w3.org/2001/XMLSchema" xmlns:p="http://schemas.microsoft.com/office/2006/metadata/properties" xmlns:ns2="5e63c31f-3679-4b05-86bf-182d2f7b7224" xmlns:ns3="bf88bed2-03f1-4f63-9894-dac1be28ee8c" targetNamespace="http://schemas.microsoft.com/office/2006/metadata/properties" ma:root="true" ma:fieldsID="35f33c3e6282cb13607348cb8b83366d" ns2:_="" ns3:_="">
    <xsd:import namespace="5e63c31f-3679-4b05-86bf-182d2f7b7224"/>
    <xsd:import namespace="bf88bed2-03f1-4f63-9894-dac1be28ee8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63c31f-3679-4b05-86bf-182d2f7b72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f88bed2-03f1-4f63-9894-dac1be28ee8c"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121DDAC-485F-4107-BD6B-54FD5581B524}"/>
</file>

<file path=customXml/itemProps2.xml><?xml version="1.0" encoding="utf-8"?>
<ds:datastoreItem xmlns:ds="http://schemas.openxmlformats.org/officeDocument/2006/customXml" ds:itemID="{7B5B1CBE-0372-4D4C-93B6-6ED21B1505F2}">
  <ds:schemaRefs>
    <ds:schemaRef ds:uri="http://schemas.microsoft.com/sharepoint/v3/contenttype/forms"/>
  </ds:schemaRefs>
</ds:datastoreItem>
</file>

<file path=customXml/itemProps3.xml><?xml version="1.0" encoding="utf-8"?>
<ds:datastoreItem xmlns:ds="http://schemas.openxmlformats.org/officeDocument/2006/customXml" ds:itemID="{AC1C2976-15E0-4350-9401-76DDDD08C70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4340</Words>
  <Characters>23872</Characters>
  <Application>Microsoft Office Word</Application>
  <DocSecurity>0</DocSecurity>
  <Lines>198</Lines>
  <Paragraphs>56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IGAE</Company>
  <LinksUpToDate>false</LinksUpToDate>
  <CharactersWithSpaces>28156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Simón García, Javier</dc:creator>
  <cp:keywords/>
  <dc:description/>
  <cp:lastModifiedBy>Schouwaerts Yves</cp:lastModifiedBy>
  <cp:revision>2</cp:revision>
  <dcterms:created xsi:type="dcterms:W3CDTF">2024-03-11T15:30:00Z</dcterms:created>
  <dcterms:modified xsi:type="dcterms:W3CDTF">2024-03-11T15:30:00Z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0x01010003F6F826A1091A46B3A8DCAA4C60BA62</vt:lpwstr>
  </property>
  <property fmtid="{D5CDD505-2E9C-101B-9397-08002B2CF9AE}" pid="3" name="_dlc_DocIdItemGuid">
    <vt:lpwstr>0ecbaccd-d383-452e-883f-fe25d5f8a493</vt:lpwstr>
  </property>
  <property fmtid="{D5CDD505-2E9C-101B-9397-08002B2CF9AE}" pid="4" name="MediaServiceImageTags">
    <vt:lpwstr/>
  </property>
</Properties>
</file>